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700737"/>
      <w:bookmarkStart w:id="1" w:name="_Toc343692939"/>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砂浆采购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
      <w:pPr>
        <w:pStyle w:val="4"/>
      </w:pPr>
    </w:p>
    <w:p>
      <w:pPr>
        <w:pStyle w:val="27"/>
        <w:numPr>
          <w:ilvl w:val="0"/>
          <w:numId w:val="1"/>
        </w:numPr>
        <w:spacing w:line="360" w:lineRule="exact"/>
        <w:ind w:firstLineChars="0"/>
        <w:jc w:val="center"/>
        <w:rPr>
          <w:rFonts w:hint="eastAsia" w:ascii="楷体" w:hAnsi="楷体" w:eastAsia="楷体" w:cs="楷体"/>
          <w:sz w:val="24"/>
          <w:szCs w:val="24"/>
        </w:rPr>
      </w:pPr>
      <w:r>
        <w:rPr>
          <w:rFonts w:hint="eastAsia" w:ascii="楷体" w:hAnsi="楷体" w:eastAsia="楷体" w:cs="楷体"/>
          <w:b/>
          <w:bCs/>
          <w:sz w:val="24"/>
          <w:szCs w:val="24"/>
          <w:lang w:val="en-US" w:eastAsia="zh-CN"/>
        </w:rPr>
        <w:t>公开询价报价函</w:t>
      </w:r>
    </w:p>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砂浆</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2024年5月9日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截至2024年5月11日上午12：00电子版发送至指定电子邮箱luhaimygs@hnyplh.com；纸质版可以同步</w:t>
            </w:r>
            <w:bookmarkStart w:id="18" w:name="_GoBack"/>
            <w:bookmarkEnd w:id="18"/>
            <w:r>
              <w:rPr>
                <w:rFonts w:hint="eastAsia" w:ascii="楷体" w:hAnsi="楷体" w:eastAsia="楷体" w:cs="楷体"/>
                <w:sz w:val="24"/>
                <w:szCs w:val="24"/>
                <w:highlight w:val="none"/>
                <w:lang w:val="en-US" w:eastAsia="zh-CN"/>
              </w:rPr>
              <w:t>邮寄至：海南省儋州市洋浦经济开发区控股大道洋浦大厦305室。若电子版与纸质版不相符，则报价文件以电子版为准。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肖工/15797868256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8"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报价单中有3种不同付款方式的报价模式，以最低评标价法，每种付款方式报价总价最低单位分别为第一成交候选人，最终成交单位为招标人选定的付款方式的报价最低单位。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儋州市滨海未来社区（一期）项目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0"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现场考察</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要求厂家直供，同时招标人对中标候选人进行现场考察，并有权对中标候选人进行综合评判是否具备供货和质量保障能力。若不满足，则取消中标候选人资格。</w:t>
            </w:r>
          </w:p>
        </w:tc>
      </w:tr>
    </w:tbl>
    <w:p>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pPr>
        <w:pStyle w:val="2"/>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砂浆</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砂浆</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rPr>
        <w:t>3、报价书</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在“信用中国”网站（http://www.creditchina.gov.cn/）中被列入重大税收违法失信主体和政府采购严重违法失信行为记录名单的投标人，在“中国执行信息公开网”网站（http://zxgk.court.gov.cn/shixin/）中被列入失信被执行人的投标人，以及在国家企业信用信息公示系统（www.gsxt.gov.cn）中被列入严重违法失信企业名单的投标人。（提供查询网页截图并加盖公章）</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砂浆</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single"/>
          <w:lang w:val="en-US" w:eastAsia="zh-CN"/>
        </w:rPr>
        <w:t>砂浆</w:t>
      </w:r>
      <w:r>
        <w:rPr>
          <w:rFonts w:hint="eastAsia" w:ascii="楷体" w:hAnsi="楷体" w:eastAsia="楷体" w:cs="楷体"/>
          <w:i w:val="0"/>
          <w:caps w:val="0"/>
          <w:color w:val="000000"/>
          <w:spacing w:val="0"/>
          <w:sz w:val="24"/>
          <w:szCs w:val="24"/>
        </w:rPr>
        <w:t>的供应（包括供应商出售该物资应缴纳税金及一切税费、装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692942"/>
      <w:bookmarkStart w:id="7" w:name="_Toc343700740"/>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送货地点：儋州未来社区（一期）项目部</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资料需加盖企业公章，送达的资料包括：</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、报价书</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、《法定代表人授权委托书》</w:t>
      </w:r>
      <w:r>
        <w:rPr>
          <w:rFonts w:hint="eastAsia" w:ascii="楷体" w:hAnsi="楷体" w:eastAsia="楷体" w:cs="楷体"/>
          <w:bCs/>
          <w:sz w:val="24"/>
          <w:szCs w:val="24"/>
          <w:lang w:val="en-US" w:eastAsia="zh-CN"/>
        </w:rPr>
        <w:t>及法人身份证复印件（如无授权人则只提供法人身份证复印件）</w:t>
      </w:r>
      <w:r>
        <w:rPr>
          <w:rFonts w:hint="eastAsia" w:ascii="楷体" w:hAnsi="楷体" w:eastAsia="楷体" w:cs="楷体"/>
          <w:bCs/>
          <w:sz w:val="24"/>
          <w:szCs w:val="24"/>
          <w:lang w:val="en-US" w:eastAsia="zh-CN"/>
        </w:rPr>
        <w:br w:type="textWrapping"/>
      </w:r>
      <w:r>
        <w:rPr>
          <w:rFonts w:hint="eastAsia" w:ascii="楷体" w:hAnsi="楷体" w:eastAsia="楷体" w:cs="楷体"/>
          <w:bCs/>
          <w:sz w:val="24"/>
          <w:szCs w:val="24"/>
          <w:lang w:val="en-US" w:eastAsia="zh-CN"/>
        </w:rPr>
        <w:t>4、信用中国和中国执行信息公开网截图</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5、其他文件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承诺函》、《报价书》、《法定代表人授权委托书》</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信用中国和中国执行信息公开网截图，供应商</w:t>
      </w:r>
      <w:r>
        <w:rPr>
          <w:rFonts w:hint="eastAsia" w:ascii="楷体" w:hAnsi="楷体" w:eastAsia="楷体" w:cs="楷体"/>
          <w:bCs/>
          <w:sz w:val="24"/>
          <w:szCs w:val="24"/>
        </w:rPr>
        <w:t>应完整地按照</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文件中所提供格式填写。</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书中的企业的名称应准确无误，并与通过资格审核的名称一致。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5、申报材料应逐页加盖企业公章，复印件应清晰、完整。</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可在递交的材料中，依据文件的格式要求填报纸质版《报价书》，随</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材料一同送达。</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的报价应为以“</w:t>
      </w:r>
      <w:r>
        <w:rPr>
          <w:rFonts w:hint="eastAsia" w:ascii="楷体" w:hAnsi="楷体" w:eastAsia="楷体" w:cs="楷体"/>
          <w:bCs/>
          <w:sz w:val="24"/>
          <w:szCs w:val="24"/>
          <w:lang w:val="en-US" w:eastAsia="zh-CN"/>
        </w:rPr>
        <w:t>吨</w:t>
      </w:r>
      <w:r>
        <w:rPr>
          <w:rFonts w:hint="eastAsia" w:ascii="楷体" w:hAnsi="楷体" w:eastAsia="楷体" w:cs="楷体"/>
          <w:bCs/>
          <w:sz w:val="24"/>
          <w:szCs w:val="24"/>
        </w:rPr>
        <w:t>”为单位的单价。</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吨</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（四）报价是指供货商供应的落地价。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（五）报价截至时间：以《</w:t>
      </w:r>
      <w:r>
        <w:rPr>
          <w:rFonts w:hint="eastAsia" w:ascii="楷体" w:hAnsi="楷体" w:eastAsia="楷体" w:cs="楷体"/>
          <w:bCs/>
          <w:sz w:val="24"/>
          <w:szCs w:val="24"/>
          <w:lang w:val="en-US" w:eastAsia="zh-CN"/>
        </w:rPr>
        <w:t>公开询价报价函</w:t>
      </w:r>
      <w:r>
        <w:rPr>
          <w:rFonts w:hint="eastAsia" w:ascii="楷体" w:hAnsi="楷体" w:eastAsia="楷体" w:cs="楷体"/>
          <w:bCs/>
          <w:sz w:val="24"/>
          <w:szCs w:val="24"/>
        </w:rPr>
        <w:t>》</w:t>
      </w:r>
      <w:r>
        <w:rPr>
          <w:rFonts w:hint="eastAsia" w:ascii="楷体" w:hAnsi="楷体" w:eastAsia="楷体" w:cs="楷体"/>
          <w:sz w:val="24"/>
          <w:szCs w:val="24"/>
        </w:rPr>
        <w:t>公布的时间为准。</w:t>
      </w:r>
      <w:bookmarkStart w:id="10" w:name="_Toc343692950"/>
      <w:bookmarkStart w:id="11" w:name="_Toc343700748"/>
      <w:r>
        <w:rPr>
          <w:rFonts w:hint="eastAsia" w:ascii="楷体" w:hAnsi="楷体" w:eastAsia="楷体" w:cs="楷体"/>
          <w:sz w:val="24"/>
          <w:szCs w:val="24"/>
        </w:rPr>
        <w:br w:type="textWrapping"/>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报价</w:t>
      </w:r>
      <w:r>
        <w:rPr>
          <w:rFonts w:hint="eastAsia" w:ascii="楷体" w:hAnsi="楷体" w:eastAsia="楷体" w:cs="楷体"/>
          <w:sz w:val="24"/>
          <w:szCs w:val="24"/>
        </w:rPr>
        <w:t>承诺函</w:t>
      </w:r>
      <w:bookmarkEnd w:id="10"/>
      <w:bookmarkEnd w:id="11"/>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rPr>
          <w:rFonts w:hint="eastAsia" w:ascii="楷体" w:hAnsi="楷体" w:eastAsia="楷体" w:cs="楷体"/>
          <w:sz w:val="24"/>
          <w:szCs w:val="24"/>
          <w:lang w:val="en-US" w:eastAsia="zh-CN"/>
        </w:rPr>
      </w:pPr>
      <w:bookmarkStart w:id="12" w:name="_Toc343700749"/>
      <w:bookmarkStart w:id="13" w:name="_Toc343692951"/>
      <w:r>
        <w:rPr>
          <w:rFonts w:hint="eastAsia" w:ascii="楷体" w:hAnsi="楷体" w:eastAsia="楷体" w:cs="楷体"/>
          <w:sz w:val="24"/>
          <w:szCs w:val="24"/>
          <w:lang w:val="en-US" w:eastAsia="zh-CN"/>
        </w:rPr>
        <w:br w:type="page"/>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lang w:val="en-US" w:eastAsia="zh-CN"/>
        </w:rPr>
        <w:t>六、</w:t>
      </w:r>
      <w:r>
        <w:rPr>
          <w:rFonts w:hint="eastAsia" w:ascii="楷体" w:hAnsi="楷体" w:eastAsia="楷体" w:cs="楷体"/>
          <w:sz w:val="24"/>
          <w:szCs w:val="24"/>
        </w:rPr>
        <w:t>法定代表人授权书</w:t>
      </w:r>
      <w:bookmarkEnd w:id="12"/>
      <w:bookmarkEnd w:id="13"/>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砂浆</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center"/>
        <w:rPr>
          <w:rFonts w:hint="eastAsia" w:ascii="楷体" w:hAnsi="楷体" w:eastAsia="楷体" w:cs="楷体"/>
          <w:b/>
          <w:bCs/>
          <w:kern w:val="44"/>
          <w:sz w:val="24"/>
          <w:szCs w:val="24"/>
        </w:rPr>
      </w:pPr>
      <w:r>
        <w:rPr>
          <w:rFonts w:hint="eastAsia" w:ascii="楷体" w:hAnsi="楷体" w:eastAsia="楷体" w:cs="楷体"/>
          <w:b/>
          <w:bCs/>
          <w:kern w:val="44"/>
          <w:sz w:val="24"/>
          <w:szCs w:val="24"/>
        </w:rPr>
        <w:t>第三章报价书</w:t>
      </w:r>
    </w:p>
    <w:p>
      <w:pPr>
        <w:pStyle w:val="27"/>
        <w:keepNext w:val="0"/>
        <w:keepLines w:val="0"/>
        <w:pageBreakBefore w:val="0"/>
        <w:numPr>
          <w:ilvl w:val="0"/>
          <w:numId w:val="3"/>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本合同计价货币、结算货币和支付货币均为人民币。</w:t>
      </w:r>
    </w:p>
    <w:p>
      <w:pPr>
        <w:pStyle w:val="27"/>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合同结算单价</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共3种付款方式</w:t>
      </w:r>
      <w:r>
        <w:rPr>
          <w:rFonts w:hint="eastAsia" w:ascii="楷体" w:hAnsi="楷体" w:eastAsia="楷体" w:cs="楷体"/>
          <w:sz w:val="24"/>
          <w:szCs w:val="24"/>
          <w:lang w:eastAsia="zh-CN"/>
        </w:rPr>
        <w:t>）</w:t>
      </w:r>
    </w:p>
    <w:p>
      <w:pPr>
        <w:pStyle w:val="27"/>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货物</w:t>
      </w:r>
      <w:r>
        <w:rPr>
          <w:rFonts w:hint="eastAsia" w:ascii="楷体" w:hAnsi="楷体" w:eastAsia="楷体" w:cs="楷体"/>
          <w:sz w:val="24"/>
          <w:szCs w:val="24"/>
          <w:lang w:val="en-US" w:eastAsia="zh-CN"/>
        </w:rPr>
        <w:t>固定价</w:t>
      </w:r>
      <w:r>
        <w:rPr>
          <w:rFonts w:hint="eastAsia" w:ascii="楷体" w:hAnsi="楷体" w:eastAsia="楷体" w:cs="楷体"/>
          <w:sz w:val="24"/>
          <w:szCs w:val="24"/>
        </w:rPr>
        <w:t>，具体单价细目详见下表。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金额单位：元</w:t>
      </w:r>
      <w:r>
        <w:rPr>
          <w:rFonts w:hint="eastAsia" w:ascii="楷体" w:hAnsi="楷体" w:eastAsia="楷体" w:cs="楷体"/>
          <w:sz w:val="24"/>
          <w:szCs w:val="24"/>
          <w:lang w:eastAsia="zh-CN"/>
        </w:rPr>
        <w:t>）</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206"/>
        <w:gridCol w:w="1151"/>
        <w:gridCol w:w="768"/>
        <w:gridCol w:w="733"/>
        <w:gridCol w:w="735"/>
        <w:gridCol w:w="752"/>
        <w:gridCol w:w="750"/>
        <w:gridCol w:w="733"/>
        <w:gridCol w:w="735"/>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0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品名</w:t>
            </w:r>
          </w:p>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单位（吨）</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月结100%</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周结100%</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供货前100%</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07"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砌筑砂浆</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M5 散装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5719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砌筑砂浆</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M10散装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102</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抹灰砂浆</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M15散装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8335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抹灰砂浆</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M20散装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2780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干混地面砂浆</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DS M20 散装</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725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袋装砂浆增加价格</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袋装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kern w:val="0"/>
                <w:sz w:val="24"/>
                <w:szCs w:val="24"/>
              </w:rPr>
              <w:t>提供增值税专用发票税率</w:t>
            </w:r>
          </w:p>
        </w:tc>
        <w:tc>
          <w:tcPr>
            <w:tcW w:w="288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以上综合价格已包括材料供应价、包装、运输、装卸、包装及运输（含装卸）损耗、组装、验收、专利权使用费、供方人员的工资、工资性补贴、医疗保险、养老保险、失业保险、工伤、意外伤害、第三者责任等各种保险费、维修费、维护费、检验试验费、不合格产品更换、财务费、风险包干费、税金以及国家和地方政府规定应缴纳的各种费用。</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2、袋装干混砌筑、抹灰砂浆同规格型号需在散装干混砂浆的单价基础上增加</w:t>
            </w:r>
            <w:r>
              <w:rPr>
                <w:rFonts w:hint="eastAsia" w:ascii="楷体" w:hAnsi="楷体" w:eastAsia="楷体" w:cs="楷体"/>
                <w:i w:val="0"/>
                <w:iCs w:val="0"/>
                <w:color w:val="000000"/>
                <w:sz w:val="24"/>
                <w:szCs w:val="24"/>
                <w:u w:val="single"/>
                <w:lang w:val="en-US" w:eastAsia="zh-CN"/>
              </w:rPr>
              <w:t xml:space="preserve">    </w:t>
            </w:r>
            <w:r>
              <w:rPr>
                <w:rFonts w:hint="eastAsia" w:ascii="楷体" w:hAnsi="楷体" w:eastAsia="楷体" w:cs="楷体"/>
                <w:i w:val="0"/>
                <w:iCs w:val="0"/>
                <w:color w:val="000000"/>
                <w:sz w:val="24"/>
                <w:szCs w:val="24"/>
                <w:u w:val="none"/>
                <w:lang w:val="en-US" w:eastAsia="zh-CN"/>
              </w:rPr>
              <w:t>元/吨，散装须免费提供所需干混砂浆罐且自带搅拌设备功能。</w:t>
            </w:r>
          </w:p>
          <w:p>
            <w:pPr>
              <w:jc w:val="left"/>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3、散装干混砂浆数量以需方项目人员依据施工现场过磅数量为准；磅差认定：净重 50 吨以下不超过3‰,50 吨以上不超过 5‰，超过部分由供方承担。如对工地过磅磅差有异议，可到双方认可的第三方复磅，以最接近复磅的磅重为准。袋装干混砂浆称重过磅计量，重量误差不得超过 2%，超出部分由供方承担。</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highlight w:val="none"/>
        </w:rPr>
      </w:pPr>
      <w:r>
        <w:rPr>
          <w:rFonts w:hint="eastAsia" w:ascii="楷体" w:hAnsi="楷体" w:eastAsia="楷体" w:cs="楷体"/>
          <w:sz w:val="24"/>
          <w:szCs w:val="24"/>
          <w:lang w:val="en-US" w:eastAsia="zh-CN"/>
        </w:rPr>
        <w:t>1.1计量方式：</w:t>
      </w:r>
      <w:r>
        <w:rPr>
          <w:rFonts w:hint="eastAsia" w:ascii="楷体" w:hAnsi="楷体" w:eastAsia="楷体" w:cs="楷体"/>
          <w:i w:val="0"/>
          <w:iCs w:val="0"/>
          <w:color w:val="000000"/>
          <w:sz w:val="24"/>
          <w:szCs w:val="24"/>
          <w:u w:val="none"/>
          <w:lang w:val="en-US" w:eastAsia="zh-CN"/>
        </w:rPr>
        <w:t>现场过磅数量为准</w:t>
      </w:r>
      <w:r>
        <w:rPr>
          <w:rFonts w:hint="eastAsia" w:ascii="楷体" w:hAnsi="楷体" w:eastAsia="楷体" w:cs="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default" w:ascii="楷体" w:hAnsi="楷体" w:eastAsia="楷体" w:cs="楷体"/>
          <w:lang w:val="en-US" w:eastAsia="zh-CN"/>
        </w:rPr>
      </w:pPr>
      <w:r>
        <w:rPr>
          <w:rFonts w:hint="eastAsia" w:ascii="楷体" w:hAnsi="楷体" w:eastAsia="楷体" w:cs="楷体"/>
          <w:sz w:val="24"/>
          <w:szCs w:val="24"/>
          <w:lang w:val="en-US" w:eastAsia="zh-CN"/>
        </w:rPr>
        <w:t>1.2付款方式：</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1）月结，当月20日至次月19日为一个结算周期。乙方将货物运至项目地点，结算周期结束后5日内双方就供应合格物资对账办理结算；对账结算完毕，乙方提交对应金额的发票，甲方收到发票后15个工作日内以现金支付该月结算物资价款的100%(如甲方采用银行承兑汇票的支付方式，银行承兑汇票贴现利息由甲方承担)。</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2）货到付款，每周结算；对账结算完毕，乙方提交对应金额的发票，甲方收到发票后5个工作日内以包括但不限于现金、银行承兑汇票付款至100%(如甲方采用银行承兑汇票的支付方式，银行承兑汇票贴现利息由甲方承担)。</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3）货前付款，乙方在接到甲方下单货物后，乙方按下单当天的结算单价提供对应货物的预付款保函至甲方，甲方在货物发货前支付货物价款100%费用。(如甲方采用银行承兑汇票的支付方式，银行承兑汇票贴现利息由甲方承担)</w:t>
      </w:r>
    </w:p>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楷体" w:hAnsi="楷体" w:eastAsia="楷体" w:cs="楷体"/>
          <w:i w:val="0"/>
          <w:iCs w:val="0"/>
          <w:sz w:val="24"/>
          <w:szCs w:val="24"/>
          <w:lang w:val="en-US" w:eastAsia="zh-CN"/>
        </w:rPr>
      </w:pPr>
      <w:r>
        <w:rPr>
          <w:rFonts w:hint="eastAsia" w:ascii="楷体" w:hAnsi="楷体" w:eastAsia="楷体" w:cs="楷体"/>
          <w:i w:val="0"/>
          <w:iCs w:val="0"/>
          <w:sz w:val="24"/>
          <w:szCs w:val="24"/>
          <w:lang w:val="en-US" w:eastAsia="zh-CN"/>
        </w:rPr>
        <w:t xml:space="preserve">    1.3 合同以甲方合同范本为准。</w:t>
      </w:r>
    </w:p>
    <w:p>
      <w:pPr>
        <w:pStyle w:val="4"/>
        <w:rPr>
          <w:rFonts w:hint="eastAsia" w:ascii="楷体" w:hAnsi="楷体" w:eastAsia="楷体" w:cs="楷体"/>
          <w:lang w:val="en-US" w:eastAsia="zh-CN"/>
        </w:rPr>
        <w:sectPr>
          <w:pgSz w:w="11906" w:h="16838"/>
          <w:pgMar w:top="1440" w:right="1800" w:bottom="1247" w:left="1800" w:header="851" w:footer="992" w:gutter="0"/>
          <w:cols w:space="0" w:num="1"/>
          <w:docGrid w:type="lines" w:linePitch="312" w:charSpace="0"/>
        </w:sectPr>
      </w:pPr>
    </w:p>
    <w:p>
      <w:pPr>
        <w:jc w:val="center"/>
        <w:rPr>
          <w:rFonts w:hint="eastAsia" w:ascii="仿宋" w:hAnsi="仿宋" w:eastAsia="仿宋"/>
          <w:b/>
          <w:bCs/>
          <w:sz w:val="44"/>
          <w:szCs w:val="44"/>
        </w:rPr>
      </w:pPr>
      <w:r>
        <w:rPr>
          <w:rFonts w:hint="eastAsia" w:ascii="宋体" w:hAnsi="宋体"/>
          <w:b/>
          <w:bCs/>
          <w:sz w:val="44"/>
          <w:szCs w:val="44"/>
          <w:lang w:eastAsia="zh-CN"/>
        </w:rPr>
        <w:t>海南洋浦陆海国际贸易有限公司砂浆</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4" w:name="_Toc145343938"/>
      <w:bookmarkStart w:id="15" w:name="_Toc145350959"/>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6" w:name="_Toc145350960"/>
      <w:bookmarkStart w:id="17" w:name="_Toc145343939"/>
      <w:r>
        <w:rPr>
          <w:rFonts w:hint="eastAsia" w:ascii="仿宋" w:hAnsi="仿宋" w:eastAsia="仿宋"/>
          <w:b/>
          <w:bCs/>
          <w:sz w:val="24"/>
          <w:szCs w:val="24"/>
        </w:rPr>
        <w:t>法定代表人：</w:t>
      </w:r>
      <w:bookmarkEnd w:id="16"/>
      <w:bookmarkEnd w:id="17"/>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sz w:val="24"/>
          <w:szCs w:val="24"/>
          <w:u w:val="single"/>
          <w:lang w:eastAsia="zh-CN"/>
        </w:rPr>
        <w:t>砂浆</w:t>
      </w:r>
      <w:r>
        <w:rPr>
          <w:rFonts w:hint="eastAsia" w:ascii="仿宋" w:hAnsi="仿宋" w:eastAsia="仿宋"/>
          <w:sz w:val="24"/>
          <w:szCs w:val="24"/>
        </w:rPr>
        <w:t>事宜，签订本合同，双方共同遵守。</w:t>
      </w:r>
    </w:p>
    <w:p>
      <w:pPr>
        <w:widowControl w:val="0"/>
        <w:numPr>
          <w:ilvl w:val="0"/>
          <w:numId w:val="5"/>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5"/>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19"/>
        <w:tblW w:w="9627" w:type="dxa"/>
        <w:tblInd w:w="93" w:type="dxa"/>
        <w:tblLayout w:type="fixed"/>
        <w:tblCellMar>
          <w:top w:w="0" w:type="dxa"/>
          <w:left w:w="108" w:type="dxa"/>
          <w:bottom w:w="0" w:type="dxa"/>
          <w:right w:w="108" w:type="dxa"/>
        </w:tblCellMar>
      </w:tblPr>
      <w:tblGrid>
        <w:gridCol w:w="512"/>
        <w:gridCol w:w="1350"/>
        <w:gridCol w:w="1275"/>
        <w:gridCol w:w="635"/>
        <w:gridCol w:w="983"/>
        <w:gridCol w:w="974"/>
        <w:gridCol w:w="974"/>
        <w:gridCol w:w="974"/>
        <w:gridCol w:w="974"/>
        <w:gridCol w:w="976"/>
      </w:tblGrid>
      <w:tr>
        <w:tblPrEx>
          <w:tblCellMar>
            <w:top w:w="0" w:type="dxa"/>
            <w:left w:w="108" w:type="dxa"/>
            <w:bottom w:w="0" w:type="dxa"/>
            <w:right w:w="108" w:type="dxa"/>
          </w:tblCellMar>
        </w:tblPrEx>
        <w:trPr>
          <w:trHeight w:val="640" w:hRule="atLeast"/>
        </w:trPr>
        <w:tc>
          <w:tcPr>
            <w:tcW w:w="512"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50"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7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3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83"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7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含税单价 </w:t>
            </w:r>
          </w:p>
        </w:tc>
        <w:tc>
          <w:tcPr>
            <w:tcW w:w="97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含税合价</w:t>
            </w:r>
          </w:p>
        </w:tc>
        <w:tc>
          <w:tcPr>
            <w:tcW w:w="976"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1</w:t>
            </w:r>
          </w:p>
        </w:tc>
        <w:tc>
          <w:tcPr>
            <w:tcW w:w="135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砌筑砂浆</w:t>
            </w:r>
          </w:p>
        </w:tc>
        <w:tc>
          <w:tcPr>
            <w:tcW w:w="127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M5 散装</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吨</w:t>
            </w:r>
          </w:p>
        </w:tc>
        <w:tc>
          <w:tcPr>
            <w:tcW w:w="983"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rPr>
            </w:pPr>
            <w:r>
              <w:rPr>
                <w:rFonts w:hint="eastAsia" w:ascii="仿宋" w:hAnsi="仿宋" w:eastAsia="仿宋" w:cs="仿宋"/>
                <w:kern w:val="0"/>
                <w:lang w:val="en-US" w:eastAsia="zh-CN"/>
              </w:rPr>
              <w:t>5719</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2</w:t>
            </w:r>
          </w:p>
        </w:tc>
        <w:tc>
          <w:tcPr>
            <w:tcW w:w="135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砌筑砂浆</w:t>
            </w:r>
          </w:p>
        </w:tc>
        <w:tc>
          <w:tcPr>
            <w:tcW w:w="127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M10散装</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lang w:val="en-US" w:eastAsia="zh-CN"/>
              </w:rPr>
              <w:t>吨</w:t>
            </w:r>
          </w:p>
        </w:tc>
        <w:tc>
          <w:tcPr>
            <w:tcW w:w="983"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rPr>
            </w:pPr>
            <w:r>
              <w:rPr>
                <w:rFonts w:hint="eastAsia" w:ascii="仿宋" w:hAnsi="仿宋" w:eastAsia="仿宋" w:cs="仿宋"/>
                <w:kern w:val="0"/>
                <w:lang w:val="en-US" w:eastAsia="zh-CN"/>
              </w:rPr>
              <w:t>102</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3</w:t>
            </w:r>
          </w:p>
        </w:tc>
        <w:tc>
          <w:tcPr>
            <w:tcW w:w="135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抹灰砂浆</w:t>
            </w:r>
          </w:p>
        </w:tc>
        <w:tc>
          <w:tcPr>
            <w:tcW w:w="127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M15散装</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lang w:val="en-US" w:eastAsia="zh-CN"/>
              </w:rPr>
              <w:t>吨</w:t>
            </w:r>
          </w:p>
        </w:tc>
        <w:tc>
          <w:tcPr>
            <w:tcW w:w="983"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rPr>
            </w:pPr>
            <w:r>
              <w:rPr>
                <w:rFonts w:hint="eastAsia" w:ascii="仿宋" w:hAnsi="仿宋" w:eastAsia="仿宋" w:cs="仿宋"/>
                <w:kern w:val="0"/>
                <w:lang w:val="en-US" w:eastAsia="zh-CN"/>
              </w:rPr>
              <w:t xml:space="preserve">8335 </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4</w:t>
            </w:r>
          </w:p>
        </w:tc>
        <w:tc>
          <w:tcPr>
            <w:tcW w:w="135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抹灰砂浆</w:t>
            </w:r>
          </w:p>
        </w:tc>
        <w:tc>
          <w:tcPr>
            <w:tcW w:w="127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M20散装</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吨</w:t>
            </w:r>
          </w:p>
        </w:tc>
        <w:tc>
          <w:tcPr>
            <w:tcW w:w="983"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2780</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5</w:t>
            </w:r>
          </w:p>
        </w:tc>
        <w:tc>
          <w:tcPr>
            <w:tcW w:w="135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干混地面砂浆</w:t>
            </w:r>
          </w:p>
        </w:tc>
        <w:tc>
          <w:tcPr>
            <w:tcW w:w="127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DS M20 散装</w:t>
            </w:r>
          </w:p>
        </w:tc>
        <w:tc>
          <w:tcPr>
            <w:tcW w:w="635"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吨</w:t>
            </w:r>
          </w:p>
        </w:tc>
        <w:tc>
          <w:tcPr>
            <w:tcW w:w="983"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725</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74"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243"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74"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76"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00" w:hRule="atLeast"/>
        </w:trPr>
        <w:tc>
          <w:tcPr>
            <w:tcW w:w="377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855"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500" w:hRule="atLeast"/>
        </w:trPr>
        <w:tc>
          <w:tcPr>
            <w:tcW w:w="9627"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6"/>
              </w:numPr>
              <w:rPr>
                <w:rFonts w:hint="eastAsia" w:ascii="仿宋" w:hAnsi="仿宋" w:eastAsia="仿宋" w:cs="仿宋"/>
                <w:color w:val="auto"/>
              </w:rPr>
            </w:pPr>
            <w:r>
              <w:rPr>
                <w:rFonts w:hint="eastAsia" w:ascii="仿宋" w:hAnsi="仿宋" w:eastAsia="仿宋" w:cs="仿宋"/>
                <w:color w:val="auto"/>
              </w:rPr>
              <w:t>以上综合价格已包括材料供应价、包装、运输、装卸、包装及运输（含装卸）损耗、组装、验收、专利权使用费、供方人员的工资、工资性补贴、医疗保险、养老保险、失业保险、工伤、意外伤害、第三者责任等各种保险费、维修费、维护费、检验试验费、不合格产品更换、财务费、风险包干费、税金以及国家和地方政府规定应缴纳的各种费用。</w:t>
            </w:r>
          </w:p>
          <w:p>
            <w:pPr>
              <w:widowControl w:val="0"/>
              <w:numPr>
                <w:ilvl w:val="0"/>
                <w:numId w:val="6"/>
              </w:numPr>
              <w:rPr>
                <w:rFonts w:hint="eastAsia" w:ascii="仿宋" w:hAnsi="仿宋" w:eastAsia="仿宋" w:cs="仿宋"/>
                <w:color w:val="auto"/>
              </w:rPr>
            </w:pPr>
            <w:r>
              <w:rPr>
                <w:rFonts w:hint="eastAsia" w:ascii="仿宋" w:hAnsi="仿宋" w:eastAsia="仿宋" w:cs="仿宋"/>
                <w:color w:val="auto"/>
              </w:rPr>
              <w:t>袋装干混砌筑、抹灰砂浆同规格型号需在散装干混砂浆的单价基础上增加</w:t>
            </w:r>
            <w:r>
              <w:rPr>
                <w:rFonts w:hint="eastAsia" w:ascii="仿宋" w:hAnsi="仿宋" w:eastAsia="仿宋" w:cs="仿宋"/>
                <w:color w:val="auto"/>
                <w:u w:val="single"/>
              </w:rPr>
              <w:t xml:space="preserve">    </w:t>
            </w:r>
            <w:r>
              <w:rPr>
                <w:rFonts w:hint="eastAsia" w:ascii="仿宋" w:hAnsi="仿宋" w:eastAsia="仿宋" w:cs="仿宋"/>
                <w:color w:val="auto"/>
              </w:rPr>
              <w:t>元/吨，散装须免费提供所需干混砂浆罐且自带搅拌设备功能。</w:t>
            </w:r>
          </w:p>
        </w:tc>
      </w:tr>
    </w:tbl>
    <w:p>
      <w:pPr>
        <w:spacing w:line="560" w:lineRule="exact"/>
        <w:rPr>
          <w:rFonts w:hint="eastAsia" w:ascii="仿宋" w:hAnsi="仿宋" w:eastAsia="仿宋"/>
          <w:sz w:val="24"/>
          <w:szCs w:val="24"/>
        </w:rPr>
      </w:pP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技术质量要求</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相关标准规范：符合GB175-2007通用硅酸盐水泥标准；符合甲方ISO14000环境体系及OHSMS18000职业安全健康管理体系标准。不限于以上标准，如国家标准有变更均按最新标准执行。</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质量基本条件：质量等级及相关质量参数需具备检测资质的第三方机构检测报告。</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材质证明书：根据甲方要求提供相关证明资料，不限于产品说明书。</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服务质量：产品质量应严格符合工程项目的设计、招标文件及有关工程施工及验收规范的要求，同时产品质量及服务必须满足甲方为保证工程质量而对质量、服务等方面提出的各种进一步要求。</w:t>
      </w:r>
    </w:p>
    <w:p>
      <w:pPr>
        <w:widowControl w:val="0"/>
        <w:numPr>
          <w:ilvl w:val="1"/>
          <w:numId w:val="5"/>
        </w:numPr>
        <w:autoSpaceDE w:val="0"/>
        <w:spacing w:after="0" w:line="560" w:lineRule="exact"/>
        <w:ind w:left="0" w:firstLine="0"/>
        <w:jc w:val="both"/>
        <w:rPr>
          <w:rFonts w:hint="eastAsia" w:eastAsia="宋体"/>
          <w:color w:val="auto"/>
          <w:sz w:val="21"/>
          <w:szCs w:val="21"/>
        </w:rPr>
      </w:pPr>
      <w:r>
        <w:rPr>
          <w:rFonts w:hint="eastAsia" w:ascii="仿宋" w:hAnsi="仿宋" w:eastAsia="仿宋"/>
          <w:sz w:val="24"/>
          <w:szCs w:val="24"/>
        </w:rPr>
        <w:t>质量保证期：</w:t>
      </w:r>
      <w:r>
        <w:rPr>
          <w:rFonts w:hint="eastAsia" w:ascii="仿宋" w:hAnsi="仿宋" w:eastAsia="仿宋"/>
          <w:sz w:val="24"/>
          <w:szCs w:val="24"/>
          <w:u w:val="single"/>
        </w:rPr>
        <w:t>终身质保</w:t>
      </w:r>
      <w:r>
        <w:rPr>
          <w:rFonts w:hint="eastAsia" w:ascii="仿宋" w:hAnsi="仿宋" w:eastAsia="仿宋"/>
          <w:sz w:val="24"/>
          <w:szCs w:val="24"/>
        </w:rPr>
        <w:t>。（从本工程竣工验收完毕之日起算）。</w:t>
      </w:r>
    </w:p>
    <w:p>
      <w:pPr>
        <w:widowControl w:val="0"/>
        <w:numPr>
          <w:ilvl w:val="0"/>
          <w:numId w:val="5"/>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spacing w:line="560" w:lineRule="exact"/>
        <w:rPr>
          <w:rFonts w:hint="eastAsia" w:eastAsia="仿宋"/>
          <w:color w:val="auto"/>
          <w:sz w:val="21"/>
          <w:szCs w:val="21"/>
        </w:rPr>
      </w:pPr>
      <w:r>
        <w:rPr>
          <w:rFonts w:hint="eastAsia" w:ascii="仿宋" w:hAnsi="仿宋" w:eastAsia="仿宋"/>
          <w:sz w:val="24"/>
          <w:szCs w:val="24"/>
        </w:rPr>
        <w:t>按照国家的技术规范和采购标准验收。</w:t>
      </w:r>
    </w:p>
    <w:p>
      <w:pPr>
        <w:widowControl w:val="0"/>
        <w:numPr>
          <w:ilvl w:val="0"/>
          <w:numId w:val="5"/>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7"/>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儋州未来社区（一期）项目部</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）负责签字验收，甲方如要求变更验收签字人，应在交货前书面通知乙方，作为本合同的补充条款，非甲方指定人员签字的货单，甲方不予结算。</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计量方式：散装干混砂浆数量以需方项目人员依据施工现场过磅数量为准；磅差认定：净重 50 吨以下不超过3‰,50 吨以上不超过 5‰，超过部分由供方承担。如对工地过磅磅差有异议，可到双方认可的第三方复磅，以最接近复磅的磅重为准。袋装干混砂浆称重过磅计量，重量误差不得超过 2%，超出部分由供方承担。</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仿宋"/>
          <w:color w:val="auto"/>
          <w:sz w:val="24"/>
          <w:highlight w:val="none"/>
          <w:lang w:val="en-US" w:eastAsia="zh-CN"/>
        </w:rPr>
        <w:t>根据中标人中标的结算方式</w:t>
      </w:r>
      <w:r>
        <w:rPr>
          <w:rFonts w:hint="eastAsia" w:ascii="仿宋" w:hAnsi="仿宋" w:eastAsia="仿宋"/>
          <w:sz w:val="24"/>
          <w:szCs w:val="24"/>
        </w:rPr>
        <w:t>。</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5"/>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5"/>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5"/>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rPr>
          <w:rFonts w:hint="eastAsia"/>
        </w:rPr>
      </w:pPr>
      <w:r>
        <w:rPr>
          <w:rFonts w:hint="eastAsia"/>
        </w:rPr>
        <w:t xml:space="preserve"> </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pStyle w:val="5"/>
        <w:ind w:firstLine="0"/>
        <w:rPr>
          <w:rFonts w:hint="eastAsia"/>
        </w:rPr>
      </w:pPr>
      <w: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ascii="楷体" w:hAnsi="楷体" w:eastAsia="楷体" w:cs="楷体"/>
          <w:sz w:val="24"/>
          <w:szCs w:val="24"/>
          <w:lang w:val="en-US" w:eastAsia="zh-CN"/>
        </w:rPr>
      </w:pPr>
    </w:p>
    <w:p>
      <w:pPr>
        <w:pStyle w:val="4"/>
        <w:rPr>
          <w:rFonts w:hint="eastAsia" w:ascii="楷体" w:hAnsi="楷体" w:eastAsia="楷体" w:cs="楷体"/>
          <w:sz w:val="24"/>
          <w:szCs w:val="24"/>
          <w:lang w:val="en-US" w:eastAsia="zh-CN"/>
        </w:rPr>
      </w:pPr>
    </w:p>
    <w:p>
      <w:pPr>
        <w:pStyle w:val="3"/>
        <w:rPr>
          <w:rFonts w:hint="eastAsia" w:ascii="楷体" w:hAnsi="楷体" w:eastAsia="楷体" w:cs="楷体"/>
          <w:lang w:val="en-US"/>
        </w:rPr>
      </w:pPr>
    </w:p>
    <w:p>
      <w:pPr>
        <w:rPr>
          <w:rFonts w:hint="eastAsia"/>
          <w:lang w:val="en-US"/>
        </w:rPr>
      </w:pPr>
    </w:p>
    <w:p>
      <w:pPr>
        <w:rPr>
          <w:rFonts w:hint="eastAsia"/>
          <w:lang w:val="en-US"/>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64E8"/>
    <w:multiLevelType w:val="singleLevel"/>
    <w:tmpl w:val="913964E8"/>
    <w:lvl w:ilvl="0" w:tentative="0">
      <w:start w:val="1"/>
      <w:numFmt w:val="decimal"/>
      <w:suff w:val="nothing"/>
      <w:lvlText w:val="%1、"/>
      <w:lvlJc w:val="left"/>
    </w:lvl>
  </w:abstractNum>
  <w:abstractNum w:abstractNumId="1">
    <w:nsid w:val="A3B31E6C"/>
    <w:multiLevelType w:val="singleLevel"/>
    <w:tmpl w:val="A3B31E6C"/>
    <w:lvl w:ilvl="0" w:tentative="0">
      <w:start w:val="5"/>
      <w:numFmt w:val="chineseCounting"/>
      <w:suff w:val="nothing"/>
      <w:lvlText w:val="%1、"/>
      <w:lvlJc w:val="left"/>
      <w:rPr>
        <w:rFonts w:hint="eastAsia"/>
      </w:rPr>
    </w:lvl>
  </w:abstractNum>
  <w:abstractNum w:abstractNumId="2">
    <w:nsid w:val="193E8CE1"/>
    <w:multiLevelType w:val="singleLevel"/>
    <w:tmpl w:val="193E8CE1"/>
    <w:lvl w:ilvl="0" w:tentative="0">
      <w:start w:val="1"/>
      <w:numFmt w:val="decimal"/>
      <w:suff w:val="nothing"/>
      <w:lvlText w:val="%1、"/>
      <w:lvlJc w:val="left"/>
    </w:lvl>
  </w:abstractNum>
  <w:abstractNum w:abstractNumId="3">
    <w:nsid w:val="20B61C33"/>
    <w:multiLevelType w:val="multilevel"/>
    <w:tmpl w:val="20B61C33"/>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4">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9B3944"/>
    <w:multiLevelType w:val="singleLevel"/>
    <w:tmpl w:val="7E9B3944"/>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0F143A"/>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BC6E98"/>
    <w:rsid w:val="00C55FAD"/>
    <w:rsid w:val="00C84769"/>
    <w:rsid w:val="00CE0085"/>
    <w:rsid w:val="00D14A8E"/>
    <w:rsid w:val="00D4048F"/>
    <w:rsid w:val="00D72F4B"/>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9432B"/>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136B7B"/>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AD264D"/>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3F47C5"/>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1627"/>
    <w:rsid w:val="0E983E63"/>
    <w:rsid w:val="0EAC1495"/>
    <w:rsid w:val="0EB42572"/>
    <w:rsid w:val="0EB7249A"/>
    <w:rsid w:val="0EBF433E"/>
    <w:rsid w:val="0EF330E4"/>
    <w:rsid w:val="0EF75085"/>
    <w:rsid w:val="0F126346"/>
    <w:rsid w:val="0F1966EA"/>
    <w:rsid w:val="0F262DE9"/>
    <w:rsid w:val="0F4C0F3C"/>
    <w:rsid w:val="0F542633"/>
    <w:rsid w:val="0F5B66DF"/>
    <w:rsid w:val="0F8356F3"/>
    <w:rsid w:val="0F8D784A"/>
    <w:rsid w:val="0FA35C35"/>
    <w:rsid w:val="0FA833F3"/>
    <w:rsid w:val="0FBD23CC"/>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6FF4F7E"/>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44518"/>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702C7"/>
    <w:rsid w:val="1AEC06BC"/>
    <w:rsid w:val="1AF26D42"/>
    <w:rsid w:val="1B035639"/>
    <w:rsid w:val="1B2003AC"/>
    <w:rsid w:val="1B2F613A"/>
    <w:rsid w:val="1B2F6BA7"/>
    <w:rsid w:val="1B853D32"/>
    <w:rsid w:val="1B8835E4"/>
    <w:rsid w:val="1BC50BBF"/>
    <w:rsid w:val="1BD726EA"/>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D00624"/>
    <w:rsid w:val="20F64A35"/>
    <w:rsid w:val="20FA3CE2"/>
    <w:rsid w:val="210D1A49"/>
    <w:rsid w:val="211C305E"/>
    <w:rsid w:val="21611CCB"/>
    <w:rsid w:val="218D37A5"/>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8FC6635"/>
    <w:rsid w:val="290563D8"/>
    <w:rsid w:val="29203333"/>
    <w:rsid w:val="2921752B"/>
    <w:rsid w:val="293811B0"/>
    <w:rsid w:val="295A5561"/>
    <w:rsid w:val="295B2CB4"/>
    <w:rsid w:val="296807F2"/>
    <w:rsid w:val="29937334"/>
    <w:rsid w:val="29956C0B"/>
    <w:rsid w:val="29A739E3"/>
    <w:rsid w:val="29D76730"/>
    <w:rsid w:val="29D97869"/>
    <w:rsid w:val="2A193F65"/>
    <w:rsid w:val="2A3218CA"/>
    <w:rsid w:val="2A4C5A68"/>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85110"/>
    <w:rsid w:val="431C0FD8"/>
    <w:rsid w:val="432C69BC"/>
    <w:rsid w:val="4377327F"/>
    <w:rsid w:val="43904469"/>
    <w:rsid w:val="43933CA0"/>
    <w:rsid w:val="43A82FD5"/>
    <w:rsid w:val="43B91DAA"/>
    <w:rsid w:val="43C83510"/>
    <w:rsid w:val="43E1510A"/>
    <w:rsid w:val="44081F09"/>
    <w:rsid w:val="440A2F83"/>
    <w:rsid w:val="441901BE"/>
    <w:rsid w:val="445C5D26"/>
    <w:rsid w:val="446E1F07"/>
    <w:rsid w:val="448B2102"/>
    <w:rsid w:val="449900F5"/>
    <w:rsid w:val="44A4522B"/>
    <w:rsid w:val="44B17003"/>
    <w:rsid w:val="451F55A0"/>
    <w:rsid w:val="45210077"/>
    <w:rsid w:val="453C7D64"/>
    <w:rsid w:val="453F7628"/>
    <w:rsid w:val="45403E4D"/>
    <w:rsid w:val="454050A9"/>
    <w:rsid w:val="45407AB5"/>
    <w:rsid w:val="455A3A69"/>
    <w:rsid w:val="459704A1"/>
    <w:rsid w:val="45A50F46"/>
    <w:rsid w:val="45B11EE5"/>
    <w:rsid w:val="45B95841"/>
    <w:rsid w:val="45C20E9E"/>
    <w:rsid w:val="45DA3724"/>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836886"/>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20A5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BB0A79"/>
    <w:rsid w:val="58D91F55"/>
    <w:rsid w:val="58E53F4D"/>
    <w:rsid w:val="59144198"/>
    <w:rsid w:val="59377486"/>
    <w:rsid w:val="59456704"/>
    <w:rsid w:val="5950021B"/>
    <w:rsid w:val="59502516"/>
    <w:rsid w:val="5955281D"/>
    <w:rsid w:val="59A26A9D"/>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B804F7"/>
    <w:rsid w:val="5EC41684"/>
    <w:rsid w:val="5ED502B1"/>
    <w:rsid w:val="5EDB3C26"/>
    <w:rsid w:val="5F1C698C"/>
    <w:rsid w:val="5F2E10CF"/>
    <w:rsid w:val="5F393BBF"/>
    <w:rsid w:val="5F503E46"/>
    <w:rsid w:val="5F5825D3"/>
    <w:rsid w:val="5F6B6599"/>
    <w:rsid w:val="5FB07830"/>
    <w:rsid w:val="5FB15CCE"/>
    <w:rsid w:val="5FD149C5"/>
    <w:rsid w:val="5FD501C7"/>
    <w:rsid w:val="5FE00B1B"/>
    <w:rsid w:val="5FE71C0A"/>
    <w:rsid w:val="5FFD3F1E"/>
    <w:rsid w:val="600B0C58"/>
    <w:rsid w:val="600B2AA4"/>
    <w:rsid w:val="600D74F7"/>
    <w:rsid w:val="60195438"/>
    <w:rsid w:val="601A2EBA"/>
    <w:rsid w:val="60261E8C"/>
    <w:rsid w:val="6028529C"/>
    <w:rsid w:val="605C6A77"/>
    <w:rsid w:val="607A0954"/>
    <w:rsid w:val="607C127E"/>
    <w:rsid w:val="60843A2C"/>
    <w:rsid w:val="608E3C91"/>
    <w:rsid w:val="60990088"/>
    <w:rsid w:val="60997EB4"/>
    <w:rsid w:val="60A3539C"/>
    <w:rsid w:val="60AC022A"/>
    <w:rsid w:val="60C56EFB"/>
    <w:rsid w:val="60D11363"/>
    <w:rsid w:val="60D47226"/>
    <w:rsid w:val="60E46266"/>
    <w:rsid w:val="60E63CC9"/>
    <w:rsid w:val="61031FF0"/>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AD5B71"/>
    <w:rsid w:val="64B557C6"/>
    <w:rsid w:val="64C762EE"/>
    <w:rsid w:val="64C8331B"/>
    <w:rsid w:val="6505464C"/>
    <w:rsid w:val="650F715A"/>
    <w:rsid w:val="65277BFE"/>
    <w:rsid w:val="65355B53"/>
    <w:rsid w:val="653E40D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2783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1E1BC1"/>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084425"/>
    <w:rsid w:val="7A1239FE"/>
    <w:rsid w:val="7A2902FC"/>
    <w:rsid w:val="7A543032"/>
    <w:rsid w:val="7A7747EC"/>
    <w:rsid w:val="7A883FEE"/>
    <w:rsid w:val="7AA51AE9"/>
    <w:rsid w:val="7AB93063"/>
    <w:rsid w:val="7ABF07F0"/>
    <w:rsid w:val="7ACD1F05"/>
    <w:rsid w:val="7ACF3A41"/>
    <w:rsid w:val="7ADC6EC3"/>
    <w:rsid w:val="7ADE198C"/>
    <w:rsid w:val="7B111CB9"/>
    <w:rsid w:val="7B3B0CF5"/>
    <w:rsid w:val="7B402043"/>
    <w:rsid w:val="7B491F02"/>
    <w:rsid w:val="7B587D8B"/>
    <w:rsid w:val="7B5F4AF6"/>
    <w:rsid w:val="7B6446E7"/>
    <w:rsid w:val="7B7421C6"/>
    <w:rsid w:val="7B897F9C"/>
    <w:rsid w:val="7B8B6C3F"/>
    <w:rsid w:val="7B974C5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EFE7949"/>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3"/>
    <w:autoRedefine/>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2"/>
    <w:autoRedefine/>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1"/>
    <w:rPr>
      <w:rFonts w:ascii="宋体" w:hAnsi="宋体" w:eastAsia="宋体" w:cs="宋体"/>
      <w:sz w:val="21"/>
      <w:szCs w:val="21"/>
      <w:lang w:val="zh-CN" w:eastAsia="zh-CN" w:bidi="zh-CN"/>
    </w:rPr>
  </w:style>
  <w:style w:type="paragraph" w:styleId="8">
    <w:name w:val="Body Text Indent"/>
    <w:basedOn w:val="1"/>
    <w:autoRedefine/>
    <w:qFormat/>
    <w:uiPriority w:val="0"/>
    <w:pPr>
      <w:tabs>
        <w:tab w:val="left" w:pos="992"/>
      </w:tabs>
      <w:ind w:firstLine="560" w:firstLineChars="200"/>
    </w:pPr>
  </w:style>
  <w:style w:type="paragraph" w:styleId="9">
    <w:name w:val="Plain Text"/>
    <w:basedOn w:val="1"/>
    <w:autoRedefine/>
    <w:unhideWhenUsed/>
    <w:qFormat/>
    <w:uiPriority w:val="0"/>
    <w:rPr>
      <w:rFonts w:ascii="宋体" w:hAnsi="Courier New" w:eastAsia="宋体" w:cs="Times New Roman"/>
      <w:szCs w:val="21"/>
      <w:lang w:val="en-US" w:eastAsia="zh-CN" w:bidi="ar-SA"/>
    </w:rPr>
  </w:style>
  <w:style w:type="paragraph" w:styleId="10">
    <w:name w:val="Date"/>
    <w:basedOn w:val="1"/>
    <w:next w:val="1"/>
    <w:autoRedefine/>
    <w:qFormat/>
    <w:uiPriority w:val="0"/>
    <w:rPr>
      <w:rFonts w:ascii="Times New Roman" w:hAnsi="Times New Roman" w:cs="Times New Roman"/>
      <w:kern w:val="0"/>
      <w:sz w:val="20"/>
      <w:szCs w:val="20"/>
    </w:rPr>
  </w:style>
  <w:style w:type="paragraph" w:styleId="11">
    <w:name w:val="Balloon Text"/>
    <w:basedOn w:val="1"/>
    <w:link w:val="31"/>
    <w:autoRedefine/>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left" w:pos="1050"/>
        <w:tab w:val="right" w:leader="dot" w:pos="8296"/>
      </w:tabs>
    </w:pPr>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autoRedefine/>
    <w:semiHidden/>
    <w:qFormat/>
    <w:uiPriority w:val="0"/>
    <w:rPr>
      <w:b/>
      <w:bCs/>
    </w:rPr>
  </w:style>
  <w:style w:type="paragraph" w:styleId="18">
    <w:name w:val="Body Text First Indent 2"/>
    <w:basedOn w:val="8"/>
    <w:next w:val="1"/>
    <w:autoRedefine/>
    <w:qFormat/>
    <w:uiPriority w:val="0"/>
    <w:pPr>
      <w:spacing w:after="120"/>
      <w:ind w:left="420" w:leftChars="200" w:firstLine="420"/>
    </w:pPr>
    <w:rPr>
      <w:bCs/>
    </w:rPr>
  </w:style>
  <w:style w:type="table" w:styleId="20">
    <w:name w:val="Table Grid"/>
    <w:basedOn w:val="1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unhideWhenUsed/>
    <w:qFormat/>
    <w:uiPriority w:val="0"/>
  </w:style>
  <w:style w:type="character" w:styleId="23">
    <w:name w:val="Hyperlink"/>
    <w:autoRedefine/>
    <w:unhideWhenUsed/>
    <w:qFormat/>
    <w:uiPriority w:val="99"/>
    <w:rPr>
      <w:color w:val="0000FF"/>
      <w:u w:val="single"/>
    </w:rPr>
  </w:style>
  <w:style w:type="paragraph" w:customStyle="1" w:styleId="24">
    <w:name w:val="汇编标题1"/>
    <w:basedOn w:val="2"/>
    <w:next w:val="25"/>
    <w:autoRedefine/>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autoRedefine/>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2"/>
    <w:next w:val="17"/>
    <w:autoRedefine/>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autoRedefine/>
    <w:qFormat/>
    <w:uiPriority w:val="34"/>
    <w:pPr>
      <w:ind w:firstLine="420" w:firstLineChars="200"/>
    </w:pPr>
  </w:style>
  <w:style w:type="paragraph" w:customStyle="1" w:styleId="28">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autoRedefine/>
    <w:semiHidden/>
    <w:qFormat/>
    <w:uiPriority w:val="99"/>
    <w:rPr>
      <w:sz w:val="18"/>
      <w:szCs w:val="18"/>
    </w:rPr>
  </w:style>
  <w:style w:type="character" w:customStyle="1" w:styleId="30">
    <w:name w:val="页脚 Char"/>
    <w:link w:val="12"/>
    <w:autoRedefine/>
    <w:semiHidden/>
    <w:qFormat/>
    <w:uiPriority w:val="99"/>
    <w:rPr>
      <w:sz w:val="18"/>
      <w:szCs w:val="18"/>
    </w:rPr>
  </w:style>
  <w:style w:type="character" w:customStyle="1" w:styleId="31">
    <w:name w:val="批注框文本 Char"/>
    <w:link w:val="11"/>
    <w:autoRedefine/>
    <w:semiHidden/>
    <w:qFormat/>
    <w:uiPriority w:val="99"/>
    <w:rPr>
      <w:sz w:val="18"/>
      <w:szCs w:val="18"/>
    </w:rPr>
  </w:style>
  <w:style w:type="character" w:customStyle="1" w:styleId="32">
    <w:name w:val="标题 3 Char"/>
    <w:link w:val="4"/>
    <w:autoRedefine/>
    <w:qFormat/>
    <w:uiPriority w:val="9"/>
    <w:rPr>
      <w:rFonts w:ascii="仿宋" w:hAnsi="仿宋" w:eastAsia="仿宋_GB2312" w:cs="Times New Roman"/>
      <w:bCs/>
      <w:sz w:val="28"/>
      <w:szCs w:val="32"/>
    </w:rPr>
  </w:style>
  <w:style w:type="character" w:customStyle="1" w:styleId="33">
    <w:name w:val="标题 2 Char"/>
    <w:link w:val="3"/>
    <w:autoRedefine/>
    <w:qFormat/>
    <w:uiPriority w:val="9"/>
    <w:rPr>
      <w:rFonts w:ascii="Cambria" w:hAnsi="Cambria" w:eastAsia="仿宋_GB2312"/>
      <w:b/>
      <w:bCs/>
      <w:sz w:val="30"/>
      <w:szCs w:val="32"/>
    </w:rPr>
  </w:style>
  <w:style w:type="character" w:customStyle="1" w:styleId="34">
    <w:name w:val="标题 1 Char"/>
    <w:link w:val="2"/>
    <w:autoRedefine/>
    <w:qFormat/>
    <w:uiPriority w:val="9"/>
    <w:rPr>
      <w:rFonts w:eastAsia="仿宋_GB2312"/>
      <w:b/>
      <w:bCs/>
      <w:kern w:val="44"/>
      <w:sz w:val="24"/>
      <w:szCs w:val="44"/>
    </w:rPr>
  </w:style>
  <w:style w:type="paragraph" w:customStyle="1" w:styleId="35">
    <w:name w:val="Default"/>
    <w:next w:val="10"/>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8819</Words>
  <Characters>9237</Characters>
  <Lines>50</Lines>
  <Paragraphs>14</Paragraphs>
  <TotalTime>119</TotalTime>
  <ScaleCrop>false</ScaleCrop>
  <LinksUpToDate>false</LinksUpToDate>
  <CharactersWithSpaces>10086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2024-05-08T06:59:00Z</cp:lastPrinted>
  <dcterms:modified xsi:type="dcterms:W3CDTF">2024-05-08T09:57:31Z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9FD8777846E249DABA8B0D825EEE598B_13</vt:lpwstr>
  </property>
</Properties>
</file>