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700737"/>
      <w:bookmarkStart w:id="1" w:name="_Toc343692939"/>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HDPE塑料管及橡胶圈采购项目                               </w:t>
      </w:r>
    </w:p>
    <w:p>
      <w:pPr>
        <w:spacing w:line="380" w:lineRule="atLeast"/>
        <w:jc w:val="both"/>
        <w:rPr>
          <w:rFonts w:hint="eastAsia" w:ascii="楷体_GB2312" w:hAnsi="楷体_GB2312" w:eastAsia="楷体_GB2312" w:cs="楷体_GB2312"/>
          <w:b/>
          <w:sz w:val="52"/>
          <w:szCs w:val="52"/>
          <w:lang w:val="en-US" w:eastAsia="zh-CN"/>
        </w:rPr>
      </w:pPr>
    </w:p>
    <w:p>
      <w:pPr>
        <w:spacing w:line="380" w:lineRule="atLeast"/>
        <w:jc w:val="both"/>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4"/>
      </w:pPr>
    </w:p>
    <w:p/>
    <w:p>
      <w:pPr>
        <w:pStyle w:val="4"/>
        <w:sectPr>
          <w:pgSz w:w="11906" w:h="16838"/>
          <w:pgMar w:top="1440" w:right="1800" w:bottom="1247" w:left="1800" w:header="851" w:footer="992" w:gutter="0"/>
          <w:cols w:space="0" w:num="1"/>
          <w:docGrid w:type="lines" w:linePitch="312" w:charSpace="0"/>
        </w:sectPr>
      </w:pPr>
    </w:p>
    <w:p/>
    <w:p>
      <w:pPr>
        <w:pStyle w:val="27"/>
        <w:numPr>
          <w:ilvl w:val="0"/>
          <w:numId w:val="0"/>
        </w:numPr>
        <w:spacing w:line="360" w:lineRule="exact"/>
        <w:ind w:leftChars="0"/>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第一章公开询价报价函</w:t>
      </w:r>
    </w:p>
    <w:p>
      <w:pPr>
        <w:pStyle w:val="27"/>
        <w:numPr>
          <w:ilvl w:val="0"/>
          <w:numId w:val="0"/>
        </w:numPr>
        <w:spacing w:line="360" w:lineRule="exact"/>
        <w:ind w:leftChars="0"/>
        <w:jc w:val="center"/>
        <w:rPr>
          <w:rFonts w:hint="eastAsia" w:ascii="楷体" w:hAnsi="楷体" w:eastAsia="楷体" w:cs="楷体"/>
          <w:b/>
          <w:bCs/>
          <w:sz w:val="24"/>
          <w:szCs w:val="24"/>
          <w:lang w:val="en-US" w:eastAsia="zh-CN"/>
        </w:rPr>
      </w:pPr>
    </w:p>
    <w:tbl>
      <w:tblPr>
        <w:tblStyle w:val="19"/>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HDPE塑料管及橡胶圈</w:t>
            </w:r>
            <w:r>
              <w:rPr>
                <w:rFonts w:hint="eastAsia" w:ascii="楷体" w:hAnsi="楷体" w:eastAsia="楷体" w:cs="楷体"/>
                <w:sz w:val="24"/>
                <w:szCs w:val="24"/>
                <w:lang w:val="en-US" w:eastAsia="zh-CN"/>
              </w:rPr>
              <w:t>采购项目</w:t>
            </w:r>
            <w:r>
              <w:rPr>
                <w:rFonts w:hint="eastAsia" w:ascii="楷体" w:hAnsi="楷体" w:eastAsia="楷体" w:cs="楷体"/>
                <w:sz w:val="24"/>
                <w:szCs w:val="24"/>
              </w:rPr>
              <w:t>，拟按照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left"/>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left"/>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2024年5月24日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5"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lang w:val="en-US"/>
              </w:rPr>
            </w:pPr>
            <w:r>
              <w:rPr>
                <w:rFonts w:hint="eastAsia" w:ascii="楷体" w:hAnsi="楷体" w:eastAsia="楷体" w:cs="楷体"/>
                <w:sz w:val="24"/>
                <w:szCs w:val="24"/>
                <w:highlight w:val="none"/>
                <w:lang w:val="en-US" w:eastAsia="zh-CN"/>
              </w:rPr>
              <w:t>截至2024年5月28日上午17：00电子版发送至指定电子邮箱luhaimygs@hnyplh.com；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肖工/15797868256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18"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符合第四章报价书（格式）要求。</w:t>
            </w:r>
          </w:p>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p>
            <w:pPr>
              <w:spacing w:line="360" w:lineRule="atLeast"/>
              <w:jc w:val="center"/>
              <w:rPr>
                <w:rFonts w:hint="default" w:ascii="楷体" w:hAnsi="楷体" w:eastAsia="楷体" w:cs="楷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项目指定交货地点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shd w:val="clear"/>
                <w:lang w:val="en-US" w:eastAsia="zh-CN"/>
              </w:rPr>
              <w:t>采购人对成交候选人进行现场考察，并有权对成交候选人进行综合评判是否具备供货和质量保障能力。若不满足，则取消成交候选人资格。</w:t>
            </w:r>
          </w:p>
        </w:tc>
      </w:tr>
    </w:tbl>
    <w:p>
      <w:pPr>
        <w:rPr>
          <w:rFonts w:hint="eastAsia" w:ascii="楷体_GB2312" w:hAnsi="楷体_GB2312" w:eastAsia="楷体_GB2312" w:cs="楷体_GB2312"/>
          <w:szCs w:val="24"/>
        </w:rPr>
      </w:pPr>
      <w:r>
        <w:rPr>
          <w:rFonts w:hint="eastAsia" w:ascii="楷体_GB2312" w:hAnsi="楷体_GB2312" w:eastAsia="楷体_GB2312" w:cs="楷体_GB2312"/>
          <w:szCs w:val="24"/>
        </w:rPr>
        <w:br w:type="page"/>
      </w:r>
    </w:p>
    <w:p>
      <w:pPr>
        <w:pStyle w:val="2"/>
        <w:spacing w:before="0" w:line="240" w:lineRule="auto"/>
        <w:jc w:val="center"/>
        <w:rPr>
          <w:rFonts w:hint="eastAsia" w:ascii="楷体" w:hAnsi="楷体" w:eastAsia="楷体" w:cs="楷体"/>
          <w:lang w:val="en-US" w:eastAsia="zh-CN"/>
        </w:rPr>
      </w:pPr>
      <w:r>
        <w:rPr>
          <w:rFonts w:hint="eastAsia" w:ascii="楷体" w:hAnsi="楷体" w:eastAsia="楷体" w:cs="楷体"/>
          <w:szCs w:val="24"/>
        </w:rPr>
        <w:t>第二章</w:t>
      </w:r>
      <w:r>
        <w:rPr>
          <w:rFonts w:hint="eastAsia" w:ascii="楷体" w:hAnsi="楷体" w:eastAsia="楷体" w:cs="楷体"/>
          <w:szCs w:val="24"/>
          <w:lang w:val="en-US" w:eastAsia="zh-CN"/>
        </w:rPr>
        <w:t xml:space="preserve"> </w:t>
      </w:r>
      <w:bookmarkEnd w:id="0"/>
      <w:bookmarkEnd w:id="1"/>
      <w:r>
        <w:rPr>
          <w:rFonts w:hint="eastAsia" w:ascii="楷体" w:hAnsi="楷体" w:eastAsia="楷体" w:cs="楷体"/>
          <w:szCs w:val="24"/>
          <w:lang w:val="en-US" w:eastAsia="zh-CN"/>
        </w:rPr>
        <w:t>供应商须知</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2" w:name="_Toc343700738"/>
      <w:bookmarkStart w:id="3" w:name="_Toc343692940"/>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2、具备国家有关部门、行业要求必须取得的</w:t>
      </w:r>
      <w:r>
        <w:rPr>
          <w:rFonts w:hint="eastAsia" w:ascii="楷体" w:hAnsi="楷体" w:eastAsia="楷体" w:cs="楷体"/>
          <w:bCs/>
          <w:sz w:val="24"/>
          <w:szCs w:val="24"/>
          <w:lang w:val="en-US" w:eastAsia="zh-CN"/>
        </w:rPr>
        <w:t>相关认</w:t>
      </w:r>
      <w:r>
        <w:rPr>
          <w:rFonts w:hint="eastAsia" w:ascii="楷体" w:hAnsi="楷体" w:eastAsia="楷体" w:cs="楷体"/>
          <w:bCs/>
          <w:sz w:val="24"/>
          <w:szCs w:val="24"/>
        </w:rPr>
        <w:t>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有同产品的供应业绩，供应量不低于本次询价数量（采购人有权对成交候选单位进行考察时查验）。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(三)采购范围和交易方式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bCs/>
          <w:sz w:val="24"/>
          <w:szCs w:val="24"/>
          <w:u w:val="none"/>
          <w:lang w:val="en-US" w:eastAsia="zh-CN"/>
        </w:rPr>
        <w:t>产品</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与备选单位签订合同。</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 xml:space="preserve">函 </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 xml:space="preserve">人须知    </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4、报价书</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sz w:val="24"/>
          <w:szCs w:val="24"/>
          <w:u w:val="single"/>
        </w:rPr>
        <w:t>详见报价书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bCs/>
          <w:sz w:val="24"/>
          <w:szCs w:val="24"/>
          <w:u w:val="none"/>
          <w:lang w:val="en-US" w:eastAsia="zh-CN"/>
        </w:rPr>
        <w:t>投标产品的</w:t>
      </w:r>
      <w:r>
        <w:rPr>
          <w:rFonts w:hint="eastAsia" w:ascii="楷体" w:hAnsi="楷体" w:eastAsia="楷体" w:cs="楷体"/>
          <w:i w:val="0"/>
          <w:caps w:val="0"/>
          <w:color w:val="000000"/>
          <w:spacing w:val="0"/>
          <w:sz w:val="24"/>
          <w:szCs w:val="24"/>
          <w:u w:val="none"/>
        </w:rPr>
        <w:t>供</w:t>
      </w:r>
      <w:r>
        <w:rPr>
          <w:rFonts w:hint="eastAsia" w:ascii="楷体" w:hAnsi="楷体" w:eastAsia="楷体" w:cs="楷体"/>
          <w:i w:val="0"/>
          <w:caps w:val="0"/>
          <w:color w:val="000000"/>
          <w:spacing w:val="0"/>
          <w:sz w:val="24"/>
          <w:szCs w:val="24"/>
        </w:rPr>
        <w:t>应（包括供应商出售该物资应缴纳税金及一切税费、</w:t>
      </w:r>
      <w:r>
        <w:rPr>
          <w:rFonts w:hint="eastAsia" w:ascii="楷体" w:hAnsi="楷体" w:eastAsia="楷体" w:cs="楷体"/>
          <w:i w:val="0"/>
          <w:caps w:val="0"/>
          <w:color w:val="000000"/>
          <w:spacing w:val="0"/>
          <w:sz w:val="24"/>
          <w:szCs w:val="24"/>
          <w:lang w:val="en-US" w:eastAsia="zh-CN"/>
        </w:rPr>
        <w:t>装</w:t>
      </w:r>
      <w:r>
        <w:rPr>
          <w:rFonts w:hint="eastAsia" w:ascii="楷体" w:hAnsi="楷体" w:eastAsia="楷体" w:cs="楷体"/>
          <w:i w:val="0"/>
          <w:caps w:val="0"/>
          <w:color w:val="000000"/>
          <w:spacing w:val="0"/>
          <w:sz w:val="24"/>
          <w:szCs w:val="24"/>
        </w:rPr>
        <w:t>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700740"/>
      <w:bookmarkStart w:id="7" w:name="_Toc343692942"/>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按照第四章报价书（格式）要求提供，内容包括</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1</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报价表</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、《法定代表人授权委托书》</w:t>
      </w:r>
      <w:r>
        <w:rPr>
          <w:rFonts w:hint="eastAsia" w:ascii="楷体" w:hAnsi="楷体" w:eastAsia="楷体" w:cs="楷体"/>
          <w:bCs/>
          <w:sz w:val="24"/>
          <w:szCs w:val="24"/>
          <w:lang w:val="en-US" w:eastAsia="zh-CN"/>
        </w:rPr>
        <w:br w:type="textWrapping"/>
      </w:r>
      <w:r>
        <w:rPr>
          <w:rFonts w:hint="eastAsia" w:ascii="楷体" w:hAnsi="楷体" w:eastAsia="楷体" w:cs="楷体"/>
          <w:bCs/>
          <w:sz w:val="24"/>
          <w:szCs w:val="24"/>
          <w:lang w:val="en-US" w:eastAsia="zh-CN"/>
        </w:rPr>
        <w:t>4、HDPE管类型的检测报告</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5、报价单位认为需要提供的其他文件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三</w:t>
      </w:r>
      <w:r>
        <w:rPr>
          <w:rFonts w:hint="eastAsia" w:ascii="楷体" w:hAnsi="楷体" w:eastAsia="楷体" w:cs="楷体"/>
          <w:bCs/>
          <w:sz w:val="24"/>
          <w:szCs w:val="24"/>
        </w:rPr>
        <w:t>）材料其它要求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投标时无需提供授权书，中标后需提供厂家授权书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、提供虚假资质证明文件的，一经发现立即取消其资格，并交由相关部门依法处理。</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（一）报价使用货币为人民币，报价保留到小数点后两位。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二</w:t>
      </w:r>
      <w:r>
        <w:rPr>
          <w:rFonts w:hint="eastAsia" w:ascii="楷体" w:hAnsi="楷体" w:eastAsia="楷体" w:cs="楷体"/>
          <w:bCs/>
          <w:sz w:val="24"/>
          <w:szCs w:val="24"/>
        </w:rPr>
        <w:t>）报价是指供货商供应的落地价。</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lang w:val="en-US" w:eastAsia="zh-CN"/>
        </w:rPr>
        <w:sectPr>
          <w:footerReference r:id="rId3" w:type="default"/>
          <w:pgSz w:w="11906" w:h="16838"/>
          <w:pgMar w:top="1440" w:right="1800" w:bottom="1247" w:left="1800" w:header="851" w:footer="992" w:gutter="0"/>
          <w:pgNumType w:fmt="decimal" w:start="1"/>
          <w:cols w:space="0" w:num="1"/>
          <w:docGrid w:type="lines" w:linePitch="312" w:charSpace="0"/>
        </w:sect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三</w:t>
      </w:r>
      <w:r>
        <w:rPr>
          <w:rFonts w:hint="eastAsia" w:ascii="楷体" w:hAnsi="楷体" w:eastAsia="楷体" w:cs="楷体"/>
          <w:bCs/>
          <w:sz w:val="24"/>
          <w:szCs w:val="24"/>
        </w:rPr>
        <w:t>）报价截至时间：以《</w:t>
      </w:r>
      <w:r>
        <w:rPr>
          <w:rFonts w:hint="eastAsia" w:ascii="楷体" w:hAnsi="楷体" w:eastAsia="楷体" w:cs="楷体"/>
          <w:bCs/>
          <w:sz w:val="24"/>
          <w:szCs w:val="24"/>
          <w:lang w:val="en-US" w:eastAsia="zh-CN"/>
        </w:rPr>
        <w:t>公开询价报价函</w:t>
      </w:r>
      <w:r>
        <w:rPr>
          <w:rFonts w:hint="eastAsia" w:ascii="楷体" w:hAnsi="楷体" w:eastAsia="楷体" w:cs="楷体"/>
          <w:bCs/>
          <w:sz w:val="24"/>
          <w:szCs w:val="24"/>
        </w:rPr>
        <w:t>》</w:t>
      </w:r>
      <w:r>
        <w:rPr>
          <w:rFonts w:hint="eastAsia" w:ascii="楷体" w:hAnsi="楷体" w:eastAsia="楷体" w:cs="楷体"/>
          <w:sz w:val="24"/>
          <w:szCs w:val="24"/>
        </w:rPr>
        <w:t>公布的时间为准。</w:t>
      </w:r>
      <w:bookmarkStart w:id="10" w:name="_Toc343700748"/>
      <w:bookmarkStart w:id="11" w:name="_Toc343692950"/>
      <w:r>
        <w:rPr>
          <w:rFonts w:hint="eastAsia" w:ascii="楷体" w:hAnsi="楷体" w:eastAsia="楷体" w:cs="楷体"/>
          <w:sz w:val="24"/>
          <w:szCs w:val="24"/>
        </w:rPr>
        <w:br w:type="textWrapping"/>
      </w:r>
    </w:p>
    <w:bookmarkEnd w:id="10"/>
    <w:bookmarkEnd w:id="11"/>
    <w:p>
      <w:pPr>
        <w:ind w:left="36" w:firstLine="0" w:firstLineChars="0"/>
        <w:jc w:val="center"/>
        <w:rPr>
          <w:rFonts w:hint="eastAsia"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第三章 合同</w:t>
      </w:r>
    </w:p>
    <w:p>
      <w:pPr>
        <w:ind w:left="36" w:firstLine="0" w:firstLineChars="0"/>
        <w:jc w:val="center"/>
        <w:rPr>
          <w:rFonts w:hint="eastAsia" w:ascii="楷体" w:hAnsi="楷体" w:eastAsia="楷体" w:cs="楷体"/>
          <w:b/>
          <w:bCs/>
          <w:kern w:val="44"/>
          <w:sz w:val="24"/>
          <w:szCs w:val="24"/>
          <w:lang w:val="en-US" w:eastAsia="zh-CN" w:bidi="ar-SA"/>
        </w:rPr>
      </w:pPr>
    </w:p>
    <w:p>
      <w:pPr>
        <w:ind w:left="36" w:firstLine="0" w:firstLineChars="0"/>
        <w:jc w:val="center"/>
        <w:rPr>
          <w:rFonts w:hint="eastAsia" w:ascii="楷体" w:hAnsi="楷体" w:eastAsia="楷体" w:cs="楷体"/>
          <w:b/>
          <w:bCs/>
          <w:kern w:val="44"/>
          <w:sz w:val="24"/>
          <w:szCs w:val="24"/>
          <w:lang w:val="en-US" w:eastAsia="zh-CN" w:bidi="ar-SA"/>
        </w:rPr>
      </w:pPr>
    </w:p>
    <w:p>
      <w:pPr>
        <w:ind w:left="36" w:firstLine="0" w:firstLineChars="0"/>
        <w:jc w:val="center"/>
        <w:rPr>
          <w:rFonts w:hint="eastAsia" w:ascii="楷体" w:hAnsi="楷体" w:eastAsia="楷体" w:cs="楷体"/>
          <w:b/>
          <w:bCs/>
          <w:kern w:val="44"/>
          <w:sz w:val="24"/>
          <w:szCs w:val="24"/>
          <w:lang w:val="en-US" w:eastAsia="zh-CN" w:bidi="ar-SA"/>
        </w:rPr>
      </w:pPr>
    </w:p>
    <w:p>
      <w:pPr>
        <w:ind w:left="36" w:firstLine="0" w:firstLineChars="0"/>
        <w:jc w:val="center"/>
        <w:rPr>
          <w:rFonts w:hint="eastAsia" w:ascii="楷体" w:hAnsi="楷体" w:eastAsia="楷体" w:cs="楷体"/>
          <w:b/>
          <w:bCs/>
          <w:kern w:val="44"/>
          <w:sz w:val="24"/>
          <w:szCs w:val="24"/>
          <w:lang w:val="en-US" w:eastAsia="zh-CN" w:bidi="ar-SA"/>
        </w:rPr>
      </w:pPr>
    </w:p>
    <w:p>
      <w:pPr>
        <w:ind w:left="36" w:firstLine="0" w:firstLineChars="0"/>
        <w:jc w:val="center"/>
        <w:rPr>
          <w:rFonts w:ascii="仿宋" w:hAnsi="仿宋" w:eastAsia="仿宋" w:cs="仿宋"/>
          <w:b/>
          <w:bCs/>
          <w:sz w:val="48"/>
          <w:szCs w:val="48"/>
          <w:highlight w:val="none"/>
          <w:lang w:val="zh-CN" w:bidi="zh-CN"/>
        </w:rPr>
      </w:pPr>
      <w:r>
        <w:rPr>
          <w:rFonts w:hint="eastAsia"/>
          <w:b/>
          <w:bCs/>
          <w:sz w:val="48"/>
          <w:szCs w:val="48"/>
          <w:highlight w:val="none"/>
          <w:lang w:bidi="zh-CN"/>
        </w:rPr>
        <w:t>HDPE塑料管及橡胶圈采</w:t>
      </w:r>
      <w:r>
        <w:rPr>
          <w:b/>
          <w:bCs/>
          <w:sz w:val="48"/>
          <w:szCs w:val="48"/>
          <w:highlight w:val="none"/>
          <w:lang w:val="zh-CN" w:bidi="zh-CN"/>
        </w:rPr>
        <w:t>购合同</w:t>
      </w:r>
      <w:r>
        <w:rPr>
          <w:rFonts w:hint="eastAsia"/>
          <w:b/>
          <w:bCs/>
          <w:sz w:val="48"/>
          <w:szCs w:val="48"/>
          <w:highlight w:val="none"/>
          <w:lang w:val="zh-CN" w:bidi="zh-CN"/>
        </w:rPr>
        <w:t>（</w:t>
      </w:r>
      <w:r>
        <w:rPr>
          <w:rFonts w:hint="eastAsia"/>
          <w:b/>
          <w:bCs/>
          <w:sz w:val="48"/>
          <w:szCs w:val="48"/>
          <w:highlight w:val="none"/>
          <w:lang w:val="en-US" w:bidi="zh-CN"/>
        </w:rPr>
        <w:t>格式</w:t>
      </w:r>
      <w:r>
        <w:rPr>
          <w:rFonts w:hint="eastAsia"/>
          <w:b/>
          <w:bCs/>
          <w:sz w:val="48"/>
          <w:szCs w:val="48"/>
          <w:highlight w:val="none"/>
          <w:lang w:val="zh-CN" w:bidi="zh-CN"/>
        </w:rPr>
        <w:t>）</w:t>
      </w: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jc w:val="center"/>
        <w:rPr>
          <w:rFonts w:hint="eastAsia"/>
          <w:sz w:val="24"/>
          <w:szCs w:val="24"/>
          <w:highlight w:val="none"/>
          <w:lang w:val="en-US" w:bidi="zh-CN"/>
        </w:rPr>
      </w:pPr>
    </w:p>
    <w:p>
      <w:pPr>
        <w:jc w:val="center"/>
        <w:rPr>
          <w:rFonts w:hint="default"/>
          <w:sz w:val="24"/>
          <w:szCs w:val="24"/>
          <w:highlight w:val="none"/>
          <w:lang w:val="en-US" w:bidi="zh-CN"/>
        </w:rPr>
      </w:pPr>
      <w:r>
        <w:rPr>
          <w:rFonts w:hint="eastAsia"/>
          <w:sz w:val="24"/>
          <w:szCs w:val="24"/>
          <w:highlight w:val="none"/>
          <w:lang w:val="en-US" w:bidi="zh-CN"/>
        </w:rPr>
        <w:t>合同编号：</w:t>
      </w:r>
    </w:p>
    <w:p>
      <w:pPr>
        <w:rPr>
          <w:highlight w:val="none"/>
        </w:rPr>
      </w:pPr>
    </w:p>
    <w:p>
      <w:pPr>
        <w:rPr>
          <w:highlight w:val="none"/>
        </w:rPr>
      </w:pP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rPr>
          <w:highlight w:val="none"/>
          <w:lang w:val="zh-CN" w:bidi="zh-CN"/>
        </w:rPr>
      </w:pPr>
    </w:p>
    <w:p>
      <w:pPr>
        <w:ind w:left="186" w:hanging="150"/>
        <w:rPr>
          <w:rFonts w:hint="eastAsia" w:ascii="仿宋" w:hAnsi="仿宋" w:eastAsia="仿宋" w:cs="仿宋"/>
          <w:sz w:val="30"/>
          <w:szCs w:val="30"/>
          <w:highlight w:val="none"/>
          <w:u w:val="single"/>
          <w:lang w:val="zh-CN" w:bidi="zh-CN"/>
        </w:rPr>
      </w:pPr>
      <w:r>
        <w:rPr>
          <w:rFonts w:hint="eastAsia" w:ascii="仿宋" w:hAnsi="仿宋" w:eastAsia="仿宋" w:cs="仿宋"/>
          <w:sz w:val="30"/>
          <w:szCs w:val="30"/>
          <w:highlight w:val="none"/>
          <w:lang w:val="zh-CN" w:bidi="zh-CN"/>
        </w:rPr>
        <w:t>甲方（采购方）：</w:t>
      </w:r>
      <w:r>
        <w:rPr>
          <w:rFonts w:hint="eastAsia" w:ascii="仿宋" w:hAnsi="仿宋" w:eastAsia="仿宋" w:cs="仿宋"/>
          <w:sz w:val="30"/>
          <w:szCs w:val="30"/>
          <w:highlight w:val="none"/>
          <w:u w:val="single"/>
          <w:lang w:val="zh-CN" w:bidi="zh-CN"/>
        </w:rPr>
        <w:t>海南洋浦陆海国际贸易有限公司</w:t>
      </w:r>
    </w:p>
    <w:p>
      <w:pPr>
        <w:ind w:left="186" w:hanging="150"/>
        <w:rPr>
          <w:rFonts w:hint="eastAsia" w:ascii="仿宋" w:hAnsi="仿宋" w:eastAsia="仿宋" w:cs="仿宋"/>
          <w:sz w:val="30"/>
          <w:szCs w:val="30"/>
          <w:highlight w:val="none"/>
          <w:u w:val="single"/>
          <w:lang w:bidi="zh-CN"/>
        </w:rPr>
      </w:pPr>
      <w:r>
        <w:rPr>
          <w:rFonts w:hint="eastAsia" w:ascii="仿宋" w:hAnsi="仿宋" w:eastAsia="仿宋" w:cs="仿宋"/>
          <w:sz w:val="30"/>
          <w:szCs w:val="30"/>
          <w:highlight w:val="none"/>
          <w:lang w:val="zh-CN" w:bidi="zh-CN"/>
        </w:rPr>
        <w:t>乙方（供应商）：</w:t>
      </w:r>
      <w:r>
        <w:rPr>
          <w:rFonts w:hint="eastAsia" w:ascii="仿宋" w:hAnsi="仿宋" w:eastAsia="仿宋" w:cs="仿宋"/>
          <w:sz w:val="30"/>
          <w:szCs w:val="30"/>
          <w:highlight w:val="none"/>
          <w:u w:val="single"/>
          <w:lang w:bidi="zh-CN"/>
        </w:rPr>
        <w:t xml:space="preserve">                            </w:t>
      </w:r>
    </w:p>
    <w:p>
      <w:pPr>
        <w:ind w:left="186" w:hanging="150"/>
        <w:rPr>
          <w:rFonts w:hint="eastAsia" w:ascii="仿宋" w:hAnsi="仿宋" w:eastAsia="仿宋" w:cs="仿宋"/>
          <w:sz w:val="30"/>
          <w:szCs w:val="30"/>
          <w:highlight w:val="none"/>
          <w:u w:val="single"/>
          <w:lang w:val="zh-CN" w:bidi="zh-CN"/>
        </w:rPr>
      </w:pPr>
      <w:r>
        <w:rPr>
          <w:rFonts w:hint="eastAsia" w:ascii="仿宋" w:hAnsi="仿宋" w:eastAsia="仿宋" w:cs="仿宋"/>
          <w:sz w:val="30"/>
          <w:szCs w:val="30"/>
          <w:highlight w:val="none"/>
          <w:lang w:val="zh-CN" w:bidi="zh-CN"/>
        </w:rPr>
        <w:t>签约地点：</w:t>
      </w:r>
      <w:r>
        <w:rPr>
          <w:rFonts w:hint="eastAsia" w:ascii="仿宋" w:hAnsi="仿宋" w:eastAsia="仿宋" w:cs="仿宋"/>
          <w:sz w:val="30"/>
          <w:szCs w:val="30"/>
          <w:highlight w:val="none"/>
          <w:u w:val="single"/>
          <w:lang w:bidi="zh-CN"/>
        </w:rPr>
        <w:t>海南省儋州市洋浦经济开发区</w:t>
      </w:r>
    </w:p>
    <w:p>
      <w:pPr>
        <w:ind w:left="186" w:hanging="150"/>
        <w:rPr>
          <w:rFonts w:hint="eastAsia" w:ascii="仿宋" w:hAnsi="仿宋" w:eastAsia="仿宋" w:cs="仿宋"/>
          <w:b/>
          <w:sz w:val="30"/>
          <w:szCs w:val="30"/>
          <w:highlight w:val="none"/>
          <w:u w:val="single"/>
          <w:lang w:val="zh-CN" w:bidi="zh-CN"/>
        </w:rPr>
      </w:pPr>
      <w:r>
        <w:rPr>
          <w:rFonts w:hint="eastAsia" w:ascii="仿宋" w:hAnsi="仿宋" w:eastAsia="仿宋" w:cs="仿宋"/>
          <w:sz w:val="30"/>
          <w:szCs w:val="30"/>
          <w:highlight w:val="none"/>
          <w:lang w:val="zh-CN" w:bidi="zh-CN"/>
        </w:rPr>
        <w:t>签约时间：</w:t>
      </w:r>
      <w:r>
        <w:rPr>
          <w:rFonts w:hint="eastAsia" w:ascii="仿宋" w:hAnsi="仿宋" w:eastAsia="仿宋" w:cs="仿宋"/>
          <w:sz w:val="30"/>
          <w:szCs w:val="30"/>
          <w:highlight w:val="none"/>
          <w:u w:val="single"/>
          <w:lang w:val="zh-CN" w:bidi="zh-CN"/>
        </w:rPr>
        <w:t>2024年</w:t>
      </w:r>
      <w:r>
        <w:rPr>
          <w:rFonts w:hint="eastAsia" w:ascii="仿宋" w:hAnsi="仿宋" w:eastAsia="仿宋" w:cs="仿宋"/>
          <w:sz w:val="30"/>
          <w:szCs w:val="30"/>
          <w:highlight w:val="none"/>
          <w:u w:val="single"/>
          <w:lang w:bidi="zh-CN"/>
        </w:rPr>
        <w:t xml:space="preserve"> </w:t>
      </w:r>
      <w:r>
        <w:rPr>
          <w:rFonts w:hint="eastAsia" w:ascii="仿宋" w:hAnsi="仿宋" w:eastAsia="仿宋" w:cs="仿宋"/>
          <w:sz w:val="30"/>
          <w:szCs w:val="30"/>
          <w:highlight w:val="none"/>
          <w:u w:val="single"/>
          <w:lang w:val="zh-CN" w:bidi="zh-CN"/>
        </w:rPr>
        <w:t>月</w:t>
      </w:r>
      <w:r>
        <w:rPr>
          <w:rFonts w:hint="eastAsia" w:ascii="仿宋" w:hAnsi="仿宋" w:eastAsia="仿宋" w:cs="仿宋"/>
          <w:sz w:val="30"/>
          <w:szCs w:val="30"/>
          <w:highlight w:val="none"/>
          <w:u w:val="single"/>
          <w:lang w:bidi="zh-CN"/>
        </w:rPr>
        <w:t xml:space="preserve"> </w:t>
      </w:r>
      <w:r>
        <w:rPr>
          <w:rFonts w:hint="eastAsia" w:ascii="仿宋" w:hAnsi="仿宋" w:eastAsia="仿宋" w:cs="仿宋"/>
          <w:sz w:val="30"/>
          <w:szCs w:val="30"/>
          <w:highlight w:val="none"/>
          <w:u w:val="single"/>
          <w:lang w:val="zh-CN" w:bidi="zh-CN"/>
        </w:rPr>
        <w:t>日</w:t>
      </w:r>
    </w:p>
    <w:p>
      <w:pPr>
        <w:ind w:left="0" w:leftChars="0" w:firstLine="0" w:firstLineChars="0"/>
        <w:rPr>
          <w:highlight w:val="none"/>
          <w:lang w:val="zh-CN" w:bidi="zh-CN"/>
        </w:rPr>
      </w:pPr>
    </w:p>
    <w:p>
      <w:pPr>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甲  方：</w:t>
      </w:r>
      <w:r>
        <w:rPr>
          <w:rFonts w:hint="eastAsia" w:ascii="仿宋" w:hAnsi="仿宋" w:eastAsia="仿宋" w:cs="仿宋"/>
          <w:sz w:val="24"/>
          <w:szCs w:val="24"/>
          <w:highlight w:val="none"/>
          <w:u w:val="single"/>
          <w:lang w:val="zh-CN" w:bidi="zh-CN"/>
        </w:rPr>
        <w:t>海南洋浦陆海国际贸易有限公司</w:t>
      </w:r>
      <w:r>
        <w:rPr>
          <w:rFonts w:hint="eastAsia" w:ascii="仿宋" w:hAnsi="仿宋" w:eastAsia="仿宋" w:cs="仿宋"/>
          <w:sz w:val="24"/>
          <w:szCs w:val="24"/>
          <w:highlight w:val="none"/>
          <w:lang w:val="zh-CN"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u w:val="single"/>
          <w:lang w:bidi="zh-CN"/>
        </w:rPr>
      </w:pPr>
      <w:r>
        <w:rPr>
          <w:rFonts w:hint="eastAsia" w:ascii="仿宋" w:hAnsi="仿宋" w:eastAsia="仿宋" w:cs="仿宋"/>
          <w:sz w:val="24"/>
          <w:szCs w:val="24"/>
          <w:highlight w:val="none"/>
          <w:lang w:val="zh-CN" w:bidi="zh-CN"/>
        </w:rPr>
        <w:t>住  所：</w:t>
      </w:r>
      <w:r>
        <w:rPr>
          <w:rFonts w:hint="eastAsia" w:ascii="仿宋" w:hAnsi="仿宋" w:eastAsia="仿宋" w:cs="仿宋"/>
          <w:sz w:val="24"/>
          <w:szCs w:val="24"/>
          <w:highlight w:val="none"/>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zh-CN" w:bidi="zh-CN"/>
        </w:rPr>
        <w:t xml:space="preserve">法定代表人：  </w:t>
      </w:r>
      <w:r>
        <w:rPr>
          <w:rFonts w:hint="eastAsia" w:ascii="仿宋" w:hAnsi="仿宋" w:eastAsia="仿宋" w:cs="仿宋"/>
          <w:b/>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zh-CN" w:bidi="zh-CN"/>
        </w:rPr>
      </w:pPr>
      <w:r>
        <w:rPr>
          <w:rFonts w:hint="eastAsia" w:ascii="仿宋" w:hAnsi="仿宋" w:eastAsia="仿宋" w:cs="仿宋"/>
          <w:snapToGrid w:val="0"/>
          <w:sz w:val="24"/>
          <w:szCs w:val="24"/>
          <w:highlight w:val="none"/>
          <w:lang w:val="zh-CN" w:bidi="zh-CN"/>
        </w:rPr>
        <w:t>乙  方</w:t>
      </w:r>
      <w:r>
        <w:rPr>
          <w:rFonts w:hint="eastAsia" w:ascii="仿宋" w:hAnsi="仿宋" w:eastAsia="仿宋" w:cs="仿宋"/>
          <w:sz w:val="24"/>
          <w:szCs w:val="24"/>
          <w:highlight w:val="none"/>
          <w:lang w:val="zh-CN" w:bidi="zh-CN"/>
        </w:rPr>
        <w:t>：</w:t>
      </w:r>
      <w:r>
        <w:rPr>
          <w:rFonts w:hint="eastAsia" w:ascii="仿宋" w:hAnsi="仿宋" w:eastAsia="仿宋" w:cs="仿宋"/>
          <w:sz w:val="24"/>
          <w:szCs w:val="24"/>
          <w:highlight w:val="none"/>
          <w:lang w:bidi="zh-CN"/>
        </w:rPr>
        <w:t xml:space="preserve"> </w:t>
      </w:r>
      <w:r>
        <w:rPr>
          <w:rFonts w:hint="eastAsia" w:ascii="仿宋" w:hAnsi="仿宋" w:eastAsia="仿宋" w:cs="仿宋"/>
          <w:sz w:val="24"/>
          <w:szCs w:val="24"/>
          <w:highlight w:val="none"/>
          <w:u w:val="single"/>
          <w:lang w:bidi="zh-CN"/>
        </w:rPr>
        <w:t xml:space="preserve">            </w:t>
      </w:r>
      <w:r>
        <w:rPr>
          <w:rFonts w:hint="eastAsia" w:ascii="仿宋" w:hAnsi="仿宋" w:eastAsia="仿宋" w:cs="仿宋"/>
          <w:sz w:val="24"/>
          <w:szCs w:val="24"/>
          <w:highlight w:val="none"/>
          <w:lang w:val="zh-CN"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bidi="zh-CN"/>
        </w:rPr>
      </w:pPr>
      <w:r>
        <w:rPr>
          <w:rFonts w:hint="eastAsia" w:ascii="仿宋" w:hAnsi="仿宋" w:eastAsia="仿宋" w:cs="仿宋"/>
          <w:sz w:val="24"/>
          <w:szCs w:val="24"/>
          <w:highlight w:val="none"/>
          <w:lang w:val="zh-CN" w:bidi="zh-CN"/>
        </w:rPr>
        <w:t>住  所：</w:t>
      </w:r>
      <w:r>
        <w:rPr>
          <w:rFonts w:hint="eastAsia" w:ascii="仿宋" w:hAnsi="仿宋" w:eastAsia="仿宋" w:cs="仿宋"/>
          <w:sz w:val="24"/>
          <w:szCs w:val="24"/>
          <w:highlight w:val="none"/>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zh-CN" w:bidi="zh-CN"/>
        </w:rPr>
        <w:t xml:space="preserve">法定代表人：  </w:t>
      </w:r>
      <w:r>
        <w:rPr>
          <w:rFonts w:hint="eastAsia" w:ascii="仿宋" w:hAnsi="仿宋" w:eastAsia="仿宋" w:cs="仿宋"/>
          <w:b/>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36" w:firstLine="720" w:firstLineChars="300"/>
        <w:textAlignment w:val="auto"/>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根据《中华人民共和国民法典》及相关法律法规，为明确甲方与乙方的权利义务，经双方协商一致，</w:t>
      </w:r>
      <w:r>
        <w:rPr>
          <w:rFonts w:hint="eastAsia" w:ascii="仿宋" w:hAnsi="仿宋" w:eastAsia="仿宋" w:cs="仿宋"/>
          <w:sz w:val="24"/>
          <w:szCs w:val="24"/>
          <w:highlight w:val="none"/>
          <w:lang w:bidi="zh-CN"/>
        </w:rPr>
        <w:t>甲方</w:t>
      </w:r>
      <w:r>
        <w:rPr>
          <w:rFonts w:hint="eastAsia" w:ascii="仿宋" w:hAnsi="仿宋" w:eastAsia="仿宋" w:cs="仿宋"/>
          <w:sz w:val="24"/>
          <w:szCs w:val="24"/>
          <w:highlight w:val="none"/>
          <w:lang w:val="zh-CN" w:bidi="zh-CN"/>
        </w:rPr>
        <w:t>就HDPE塑料管及橡胶圈</w:t>
      </w:r>
      <w:r>
        <w:rPr>
          <w:rFonts w:hint="eastAsia" w:ascii="仿宋" w:hAnsi="仿宋" w:eastAsia="仿宋" w:cs="仿宋"/>
          <w:sz w:val="24"/>
          <w:szCs w:val="24"/>
          <w:highlight w:val="none"/>
          <w:lang w:val="en-US" w:bidi="zh-CN"/>
        </w:rPr>
        <w:t>采购</w:t>
      </w:r>
      <w:r>
        <w:rPr>
          <w:rFonts w:hint="eastAsia" w:ascii="仿宋" w:hAnsi="仿宋" w:eastAsia="仿宋" w:cs="仿宋"/>
          <w:sz w:val="24"/>
          <w:szCs w:val="24"/>
          <w:highlight w:val="none"/>
          <w:lang w:val="zh-CN" w:bidi="zh-CN"/>
        </w:rPr>
        <w:t>事宜，签订本合同，双方共同遵守。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 xml:space="preserve">1 </w:t>
      </w:r>
      <w:r>
        <w:rPr>
          <w:rFonts w:hint="eastAsia" w:ascii="仿宋" w:hAnsi="仿宋" w:eastAsia="仿宋" w:cs="仿宋"/>
          <w:b/>
          <w:bCs/>
          <w:sz w:val="24"/>
          <w:szCs w:val="24"/>
          <w:highlight w:val="none"/>
          <w:lang w:val="zh-CN" w:bidi="zh-CN"/>
        </w:rPr>
        <w:t xml:space="preserve"> 货物及数量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1.1货物的名称、数量、规格、</w:t>
      </w:r>
      <w:r>
        <w:rPr>
          <w:rFonts w:hint="eastAsia" w:ascii="仿宋" w:hAnsi="仿宋" w:eastAsia="仿宋" w:cs="仿宋"/>
          <w:sz w:val="24"/>
          <w:szCs w:val="24"/>
          <w:highlight w:val="none"/>
          <w:lang w:val="en-US" w:bidi="zh-CN"/>
        </w:rPr>
        <w:t>单价</w:t>
      </w:r>
      <w:r>
        <w:rPr>
          <w:rFonts w:hint="eastAsia" w:ascii="仿宋" w:hAnsi="仿宋" w:eastAsia="仿宋" w:cs="仿宋"/>
          <w:sz w:val="24"/>
          <w:szCs w:val="24"/>
          <w:highlight w:val="none"/>
          <w:lang w:val="zh-CN" w:bidi="zh-CN"/>
        </w:rPr>
        <w:t>等详见下表。</w:t>
      </w:r>
    </w:p>
    <w:tbl>
      <w:tblPr>
        <w:tblStyle w:val="19"/>
        <w:tblW w:w="8715" w:type="dxa"/>
        <w:jc w:val="center"/>
        <w:tblLayout w:type="fixed"/>
        <w:tblCellMar>
          <w:top w:w="0" w:type="dxa"/>
          <w:left w:w="108" w:type="dxa"/>
          <w:bottom w:w="0" w:type="dxa"/>
          <w:right w:w="108" w:type="dxa"/>
        </w:tblCellMar>
      </w:tblPr>
      <w:tblGrid>
        <w:gridCol w:w="466"/>
        <w:gridCol w:w="2370"/>
        <w:gridCol w:w="1191"/>
        <w:gridCol w:w="663"/>
        <w:gridCol w:w="911"/>
        <w:gridCol w:w="1263"/>
        <w:gridCol w:w="1096"/>
        <w:gridCol w:w="755"/>
      </w:tblGrid>
      <w:tr>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序号</w:t>
            </w:r>
          </w:p>
        </w:tc>
        <w:tc>
          <w:tcPr>
            <w:tcW w:w="2370" w:type="dxa"/>
            <w:tcBorders>
              <w:top w:val="single" w:color="000000" w:sz="4" w:space="0"/>
              <w:left w:val="single" w:color="000000" w:sz="4" w:space="0"/>
              <w:bottom w:val="nil"/>
              <w:right w:val="single" w:color="auto"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名称</w:t>
            </w:r>
          </w:p>
        </w:tc>
        <w:tc>
          <w:tcPr>
            <w:tcW w:w="1191"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规格型号</w:t>
            </w:r>
          </w:p>
        </w:tc>
        <w:tc>
          <w:tcPr>
            <w:tcW w:w="663"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单位</w:t>
            </w:r>
          </w:p>
        </w:tc>
        <w:tc>
          <w:tcPr>
            <w:tcW w:w="911"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暂定</w:t>
            </w:r>
          </w:p>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数量</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 xml:space="preserve">含税单价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含税</w:t>
            </w:r>
          </w:p>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合价</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备注</w:t>
            </w: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DN200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300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DN300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DN400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240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DN600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744</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DN800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90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（甲供）HDPE增强中空壁缠绕管（A管） DN1000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（甲供）HDPE增强中空壁缠绕管（A管） DN900 环刚度≧8KN/m2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DN200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DN300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DN400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DN600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DN800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000000"/>
                <w:kern w:val="0"/>
                <w:sz w:val="18"/>
                <w:szCs w:val="18"/>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18</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(甲供)止水胶圈 DN1000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19</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(甲供)止水胶圈 DN900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提供增值税专用发票税率</w:t>
            </w:r>
          </w:p>
        </w:tc>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以上数量为暂估数量，暂定总价款（含税）为：</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highlight w:val="none"/>
        </w:rPr>
        <w:t>元，金额大写：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；其中税率为：</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。供货数量、时间和地点以甲方书面计划为准，结算数量为甲方实收合格数量，甲方有权对合同中的数量和交货时间做调整，乙方</w:t>
      </w:r>
      <w:r>
        <w:rPr>
          <w:rFonts w:hint="eastAsia" w:ascii="仿宋" w:hAnsi="仿宋" w:eastAsia="仿宋" w:cs="仿宋"/>
          <w:color w:val="000000" w:themeColor="text1"/>
          <w:sz w:val="24"/>
          <w:szCs w:val="24"/>
          <w:highlight w:val="none"/>
          <w14:textFill>
            <w14:solidFill>
              <w14:schemeClr w14:val="tx1"/>
            </w14:solidFill>
          </w14:textFill>
        </w:rPr>
        <w:t>应予无条件配合。因货物数量调整</w:t>
      </w:r>
      <w:r>
        <w:rPr>
          <w:rFonts w:hint="eastAsia" w:ascii="仿宋" w:hAnsi="仿宋" w:eastAsia="仿宋" w:cs="仿宋"/>
          <w:color w:val="auto"/>
          <w:sz w:val="24"/>
          <w:highlight w:val="none"/>
        </w:rPr>
        <w:t>，当乙方</w:t>
      </w:r>
      <w:r>
        <w:rPr>
          <w:rFonts w:hint="eastAsia" w:ascii="仿宋" w:hAnsi="仿宋" w:eastAsia="仿宋" w:cs="仿宋"/>
          <w:color w:val="auto"/>
          <w:sz w:val="24"/>
          <w:highlight w:val="none"/>
          <w:lang w:val="en-US" w:eastAsia="zh-CN"/>
        </w:rPr>
        <w:t>实际</w:t>
      </w:r>
      <w:r>
        <w:rPr>
          <w:rFonts w:hint="eastAsia" w:ascii="仿宋" w:hAnsi="仿宋" w:eastAsia="仿宋" w:cs="仿宋"/>
          <w:color w:val="auto"/>
          <w:sz w:val="24"/>
          <w:highlight w:val="none"/>
        </w:rPr>
        <w:t>供货量</w:t>
      </w:r>
      <w:r>
        <w:rPr>
          <w:rFonts w:hint="eastAsia" w:ascii="仿宋" w:hAnsi="仿宋" w:eastAsia="仿宋" w:cs="仿宋"/>
          <w:color w:val="auto"/>
          <w:sz w:val="24"/>
          <w:highlight w:val="none"/>
          <w:lang w:val="en-US" w:eastAsia="zh-CN"/>
        </w:rPr>
        <w:t>未达</w:t>
      </w:r>
      <w:r>
        <w:rPr>
          <w:rFonts w:hint="eastAsia" w:ascii="仿宋" w:hAnsi="仿宋" w:eastAsia="仿宋" w:cs="仿宋"/>
          <w:color w:val="auto"/>
          <w:sz w:val="24"/>
          <w:highlight w:val="none"/>
        </w:rPr>
        <w:t>以上暂估数量时，乙方不得以供货数量不足作为索赔的理由。</w:t>
      </w:r>
    </w:p>
    <w:p>
      <w:pPr>
        <w:pStyle w:val="3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1.3合同结算单价、合同暂估总金额以及最终结算总价都已包括货物价款、供应商出售该物资应缴纳税金及一切税费、包装费、保险费、运输费、装</w:t>
      </w:r>
      <w:r>
        <w:rPr>
          <w:rFonts w:hint="eastAsia" w:ascii="仿宋" w:hAnsi="仿宋" w:eastAsia="仿宋" w:cs="仿宋"/>
          <w:sz w:val="24"/>
          <w:szCs w:val="24"/>
          <w:highlight w:val="none"/>
          <w:lang w:bidi="zh-CN"/>
        </w:rPr>
        <w:t>卸车费</w:t>
      </w:r>
      <w:r>
        <w:rPr>
          <w:rFonts w:hint="eastAsia" w:ascii="仿宋" w:hAnsi="仿宋" w:eastAsia="仿宋" w:cs="仿宋"/>
          <w:sz w:val="24"/>
          <w:szCs w:val="24"/>
          <w:highlight w:val="none"/>
          <w:lang w:val="zh-CN" w:bidi="zh-CN"/>
        </w:rPr>
        <w:t>以及其他运抵至甲方指定交货地点的一切费用；包括售后服务以及市场价格涨幅等的各类风险费用；以及其他所有相关服务费用。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zh-CN"/>
        </w:rPr>
        <w:t>2  技术质量要求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2.1相关标准规范</w:t>
      </w:r>
      <w:r>
        <w:rPr>
          <w:rFonts w:hint="eastAsia" w:ascii="仿宋" w:hAnsi="仿宋" w:eastAsia="仿宋" w:cs="仿宋"/>
          <w:b w:val="0"/>
          <w:bCs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HDPE 双壁波纹管执行GB/T19472.1-2019《埋地用聚乙烯(PE)结构壁管道系统第1部分：聚乙烯双壁波纹管材》,HDPE 增强中空壁缠绕管执行(GB/T19472.2--2017)《埋地用聚乙烯(PE)结构壁管道系统第 2部分：聚乙烯缠绕结构壁管材》标准，如国家标准有更新，则参照最新国家标准执行。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2.2质量基本条件：质量等级及相关质量参数需具备检测资质的第三方机构检测报告。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2.3材质证明书：根据甲方要求提供相关证明资料，不限于检测报告。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2.4材料质量应严格符合工程项目的设计、招标文件及有关工程施工及验收规范的要求，同时材料质量及服务必须满足甲方为保证工程质量而对质量、服务等方面提出的各种进一步要求。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3  验收方法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lang w:val="zh-CN"/>
        </w:rPr>
        <w:t>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4  交货地点、收货人员、交货期限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4.1交货地点：甲方指定交货地点，乙方按甲方的供货通知所要求的规格、数量，供应甲方合同明细中要求的物资。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甲方指定收货人员：姓名</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负责签字验收，甲方如要求变更验收签字人，应在交货前书面通知乙方，作为本合同的补充条款，非甲方指定人员签字的货单，甲方不予结算。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交货日期：合同签订完成，甲方下采购订单，乙方收到订单后15天内具备供货条件，乙方收到每批次货物供货指令72小时内送达该项目指定地点。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5  货款的结算及支付方式：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5.1 计量方式：</w:t>
      </w:r>
      <w:r>
        <w:rPr>
          <w:rFonts w:hint="eastAsia" w:ascii="仿宋" w:hAnsi="仿宋" w:eastAsia="仿宋" w:cs="仿宋"/>
          <w:color w:val="000000"/>
          <w:sz w:val="24"/>
          <w:highlight w:val="none"/>
        </w:rPr>
        <w:t>按实计量，以检尺点数结合的方式验收</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5.2 结算方式：</w:t>
      </w:r>
      <w:r>
        <w:rPr>
          <w:rFonts w:hint="eastAsia" w:ascii="仿宋" w:hAnsi="仿宋" w:eastAsia="仿宋" w:cs="仿宋"/>
          <w:color w:val="000000"/>
          <w:sz w:val="24"/>
          <w:highlight w:val="none"/>
        </w:rPr>
        <w:t>月结，当月20日至次月19日为一个结算周期。乙方将货物运至项目地点，结算周期结束后5日内双方就供应合格物资对账办理结算；对账结算完毕，乙方提交对应金额的发票，甲方收到发票后15个工作日内以包括但不限于现金、银行转账、银行承兑汇票等支付该月结算物资价款的</w:t>
      </w:r>
      <w:r>
        <w:rPr>
          <w:rFonts w:hint="eastAsia" w:ascii="仿宋" w:hAnsi="仿宋" w:eastAsia="仿宋" w:cs="仿宋"/>
          <w:color w:val="000000"/>
          <w:sz w:val="24"/>
          <w:highlight w:val="none"/>
          <w:lang w:val="en-US" w:eastAsia="zh-CN"/>
        </w:rPr>
        <w:t>100</w:t>
      </w:r>
      <w:r>
        <w:rPr>
          <w:rFonts w:hint="eastAsia" w:ascii="仿宋" w:hAnsi="仿宋" w:eastAsia="仿宋" w:cs="仿宋"/>
          <w:color w:val="000000"/>
          <w:sz w:val="24"/>
          <w:highlight w:val="none"/>
        </w:rPr>
        <w:t>%。（如甲方以银行承兑方式支付货款的，承兑贴现利息由甲方承担）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5.3乙方指定收款账户：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名    称：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开 户 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账    号：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5.4甲方开票信息：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名    称：海南洋浦陆海国际贸易有限公司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纳税人识别号：91460000MABU89U388</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营业地址：海南省洋浦经济开发区新英湾区控股大道洋浦大厦8楼818房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电    话：0898-28816705</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开 户 行：海南银行股份有限公司洋浦支行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银行账号：6005178800010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开 户 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银行账号：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6 </w:t>
      </w:r>
      <w:r>
        <w:rPr>
          <w:rFonts w:hint="eastAsia" w:ascii="仿宋" w:hAnsi="仿宋" w:eastAsia="仿宋" w:cs="仿宋"/>
          <w:b/>
          <w:color w:val="auto"/>
          <w:sz w:val="24"/>
          <w:highlight w:val="none"/>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乙方若不能按甲方需求在规定期限送至指定现场存货地点，乙方将承担因此造成的一切损失，并且甲方向乙方收取逾期运达物资总额（含增值税）每日0.5％的违约金，若逾期三天以上，则甲方有权因乙方违约而单方</w:t>
      </w:r>
      <w:r>
        <w:rPr>
          <w:rFonts w:hint="eastAsia" w:ascii="仿宋" w:hAnsi="仿宋" w:eastAsia="仿宋" w:cs="仿宋"/>
          <w:color w:val="auto"/>
          <w:sz w:val="24"/>
          <w:highlight w:val="none"/>
          <w:lang w:val="en-US" w:eastAsia="zh-CN"/>
        </w:rPr>
        <w:t>解除</w:t>
      </w:r>
      <w:r>
        <w:rPr>
          <w:rFonts w:hint="eastAsia" w:ascii="仿宋" w:hAnsi="仿宋" w:eastAsia="仿宋" w:cs="仿宋"/>
          <w:color w:val="auto"/>
          <w:sz w:val="24"/>
          <w:highlight w:val="none"/>
        </w:rPr>
        <w:t>本合同。（产品实际运送到合同指定地点的时间为乙方的实际交货时间，并以此来确定是否构成逾期交货）；若因乙方逾期供货，导致甲方所负责供应的项目工期延误，甲方因此而遭受损失的，则甲方可按照批次货价的</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收取违约金，同时可要求乙方赔偿因工程延期而使甲方遭受的全部损失。若出现此类情况两次，则甲方可单方解除合同。乙方不得因甲方未按期付款而停止供应，如因停止供应造成的损失参照乙方逾期供应违约责任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本合同所采购与供应的物资，在进场验收或使用过程中（规定质量保证期限内）出现品牌规格数量不符、单据丢失、物资质量不达标等问题，甲方可按下列条款中的一条或多条向乙方主张权利：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（1）甲方</w:t>
      </w:r>
      <w:r>
        <w:rPr>
          <w:rFonts w:hint="eastAsia" w:ascii="仿宋" w:hAnsi="仿宋" w:eastAsia="仿宋" w:cs="仿宋"/>
          <w:color w:val="auto"/>
          <w:sz w:val="24"/>
          <w:highlight w:val="none"/>
          <w:lang w:val="en-US" w:eastAsia="zh-CN"/>
        </w:rPr>
        <w:t>有权</w:t>
      </w:r>
      <w:r>
        <w:rPr>
          <w:rFonts w:hint="eastAsia" w:ascii="仿宋" w:hAnsi="仿宋" w:eastAsia="仿宋" w:cs="仿宋"/>
          <w:color w:val="auto"/>
          <w:sz w:val="24"/>
          <w:highlight w:val="none"/>
        </w:rPr>
        <w:t>拒收物资，</w:t>
      </w:r>
      <w:r>
        <w:rPr>
          <w:rFonts w:hint="eastAsia" w:ascii="仿宋" w:hAnsi="仿宋" w:eastAsia="仿宋" w:cs="仿宋"/>
          <w:color w:val="auto"/>
          <w:sz w:val="24"/>
          <w:highlight w:val="none"/>
          <w:lang w:val="en-US" w:eastAsia="zh-CN"/>
        </w:rPr>
        <w:t>乙方应</w:t>
      </w:r>
      <w:r>
        <w:rPr>
          <w:rFonts w:hint="eastAsia" w:ascii="仿宋" w:hAnsi="仿宋" w:eastAsia="仿宋" w:cs="仿宋"/>
          <w:color w:val="auto"/>
          <w:sz w:val="24"/>
          <w:highlight w:val="none"/>
        </w:rPr>
        <w:t>把被拒收物资的预付货款返还甲方。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（2）要求乙方承担退货过程中发生的一切损失和费用，包括利息、银行费用、运输和保险费、检验费、仓储和装卸费以及为保管和保护退货货物所需的其它费用。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（3）若乙方出现单据丢失等情况，则甲方对乙方每次处以500元人民币的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（4）若出现规格数量不符的情况，</w:t>
      </w:r>
      <w:r>
        <w:rPr>
          <w:rFonts w:hint="eastAsia" w:ascii="仿宋" w:hAnsi="仿宋" w:eastAsia="仿宋" w:cs="仿宋"/>
          <w:color w:val="000000" w:themeColor="text1"/>
          <w:sz w:val="24"/>
          <w:szCs w:val="24"/>
          <w:highlight w:val="none"/>
          <w14:textFill>
            <w14:solidFill>
              <w14:schemeClr w14:val="tx1"/>
            </w14:solidFill>
          </w14:textFill>
        </w:rPr>
        <w:t>甲方有权要求乙方在</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日内补足所要求规格或数量的物资，同时</w:t>
      </w:r>
      <w:r>
        <w:rPr>
          <w:rFonts w:hint="eastAsia" w:ascii="仿宋" w:hAnsi="仿宋" w:eastAsia="仿宋" w:cs="仿宋"/>
          <w:color w:val="auto"/>
          <w:sz w:val="24"/>
          <w:highlight w:val="none"/>
        </w:rPr>
        <w:t>甲方对乙方每次处以1000元人民币的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；若因此类情况导致工期出现延误的，导致甲方遭受损失，甲方有权要求乙方按照当批次货价20%支付违约金，并赔偿由此遭受的全部损失；若出现此类情况两次，则甲方可单方解除合同。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color w:val="auto"/>
          <w:highlight w:val="none"/>
        </w:rPr>
      </w:pPr>
      <w:r>
        <w:rPr>
          <w:rFonts w:hint="eastAsia" w:ascii="仿宋" w:hAnsi="仿宋" w:eastAsia="仿宋" w:cs="仿宋"/>
          <w:color w:val="auto"/>
          <w:sz w:val="24"/>
          <w:highlight w:val="none"/>
        </w:rPr>
        <w:t>（5）若出现质量不合格或随机抽检不合格的产品，甲方有权邀请具有检测资质的检测机构进行全面检验，并出具检验证书，若证实乙方所供物资不符合要求，甲方对乙方每次处</w:t>
      </w:r>
      <w:r>
        <w:rPr>
          <w:rFonts w:hint="eastAsia" w:ascii="仿宋" w:hAnsi="仿宋" w:eastAsia="仿宋" w:cs="仿宋"/>
          <w:color w:val="auto"/>
          <w:sz w:val="24"/>
          <w:highlight w:val="none"/>
          <w:lang w:val="en-US" w:eastAsia="zh-CN"/>
        </w:rPr>
        <w:t>以5</w:t>
      </w:r>
      <w:r>
        <w:rPr>
          <w:rFonts w:hint="eastAsia" w:ascii="仿宋" w:hAnsi="仿宋" w:eastAsia="仿宋" w:cs="仿宋"/>
          <w:color w:val="auto"/>
          <w:sz w:val="24"/>
          <w:highlight w:val="none"/>
        </w:rPr>
        <w:t>000元人民币的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最高不超过合同总金额的10%，若因此类情况导致工期出现延误的，导致甲方遭受损失，甲方有权要求乙方按照当批次货价20%支付违约金，并赔偿由此遭受的全部损失；乙方需72小时内更换有缺陷的物资，以达到合同约定的质量和性能，不能及时更换，则乙方需承担每次500元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，且乙方承担一切费用和风险，同时相应延长被更换物资的质量保证期；若出现此类情况两次，则甲方可单方解除合同。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w:t>
      </w:r>
      <w:r>
        <w:rPr>
          <w:rFonts w:hint="eastAsia" w:ascii="仿宋" w:hAnsi="仿宋" w:eastAsia="仿宋" w:cs="仿宋"/>
          <w:color w:val="000000" w:themeColor="text1"/>
          <w:sz w:val="24"/>
          <w:szCs w:val="24"/>
          <w:highlight w:val="none"/>
          <w14:textFill>
            <w14:solidFill>
              <w14:schemeClr w14:val="tx1"/>
            </w14:solidFill>
          </w14:textFill>
        </w:rPr>
        <w:t>乙方应予理解，</w:t>
      </w:r>
      <w:r>
        <w:rPr>
          <w:rFonts w:hint="eastAsia" w:ascii="仿宋" w:hAnsi="仿宋" w:eastAsia="仿宋" w:cs="仿宋"/>
          <w:color w:val="auto"/>
          <w:sz w:val="24"/>
          <w:highlight w:val="none"/>
        </w:rPr>
        <w:t>甲方</w:t>
      </w:r>
      <w:r>
        <w:rPr>
          <w:rFonts w:hint="eastAsia" w:ascii="仿宋" w:hAnsi="仿宋" w:eastAsia="仿宋" w:cs="仿宋"/>
          <w:color w:val="000000" w:themeColor="text1"/>
          <w:sz w:val="24"/>
          <w:szCs w:val="24"/>
          <w:highlight w:val="none"/>
          <w14:textFill>
            <w14:solidFill>
              <w14:schemeClr w14:val="tx1"/>
            </w14:solidFill>
          </w14:textFill>
        </w:rPr>
        <w:t>不因此承担</w:t>
      </w:r>
      <w:r>
        <w:rPr>
          <w:rFonts w:hint="eastAsia" w:ascii="仿宋" w:hAnsi="仿宋" w:eastAsia="仿宋" w:cs="仿宋"/>
          <w:color w:val="auto"/>
          <w:sz w:val="24"/>
          <w:highlight w:val="none"/>
        </w:rPr>
        <w:t>逾期付款违约责任，且甲方不承担逾期付款的利息。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color w:val="auto"/>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  </w:t>
      </w:r>
      <w:r>
        <w:rPr>
          <w:rFonts w:hint="eastAsia" w:ascii="仿宋" w:hAnsi="仿宋" w:eastAsia="仿宋" w:cs="仿宋"/>
          <w:color w:val="auto"/>
          <w:sz w:val="24"/>
          <w:highlight w:val="none"/>
          <w:lang w:val="zh-CN"/>
        </w:rPr>
        <w:t>合同生效及争议解决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7.1  </w:t>
      </w:r>
      <w:r>
        <w:rPr>
          <w:rFonts w:hint="eastAsia" w:ascii="仿宋" w:hAnsi="仿宋" w:eastAsia="仿宋" w:cs="仿宋"/>
          <w:color w:val="auto"/>
          <w:sz w:val="24"/>
          <w:highlight w:val="none"/>
          <w:lang w:val="zh-CN"/>
        </w:rPr>
        <w:t>本合同经双方加盖公章后生效</w:t>
      </w:r>
      <w:r>
        <w:rPr>
          <w:rFonts w:hint="eastAsia" w:ascii="仿宋" w:hAnsi="仿宋" w:eastAsia="仿宋" w:cs="仿宋"/>
          <w:color w:val="auto"/>
          <w:sz w:val="24"/>
          <w:highlight w:val="none"/>
        </w:rPr>
        <w:t>，有效期至合同履约完毕</w:t>
      </w:r>
      <w:r>
        <w:rPr>
          <w:rFonts w:hint="eastAsia" w:ascii="仿宋" w:hAnsi="仿宋" w:eastAsia="仿宋" w:cs="仿宋"/>
          <w:color w:val="auto"/>
          <w:sz w:val="24"/>
          <w:highlight w:val="none"/>
          <w:lang w:val="en-US" w:eastAsia="zh-CN"/>
        </w:rPr>
        <w:t>货、款</w:t>
      </w:r>
      <w:r>
        <w:rPr>
          <w:rFonts w:hint="eastAsia" w:ascii="仿宋" w:hAnsi="仿宋" w:eastAsia="仿宋" w:cs="仿宋"/>
          <w:color w:val="auto"/>
          <w:sz w:val="24"/>
          <w:highlight w:val="none"/>
        </w:rPr>
        <w:t>两清后自动</w:t>
      </w:r>
      <w:r>
        <w:rPr>
          <w:rFonts w:hint="eastAsia" w:ascii="仿宋" w:hAnsi="仿宋" w:eastAsia="仿宋" w:cs="仿宋"/>
          <w:color w:val="auto"/>
          <w:sz w:val="24"/>
          <w:highlight w:val="none"/>
          <w:lang w:val="en-US" w:eastAsia="zh-CN"/>
        </w:rPr>
        <w:t>终止；</w:t>
      </w:r>
      <w:r>
        <w:rPr>
          <w:rFonts w:hint="eastAsia" w:ascii="仿宋" w:hAnsi="仿宋" w:eastAsia="仿宋" w:cs="仿宋"/>
          <w:color w:val="auto"/>
          <w:sz w:val="24"/>
          <w:highlight w:val="none"/>
        </w:rPr>
        <w:t>本合同未尽事宜，由甲乙双方另行协商并签订补充协议。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7.2  </w:t>
      </w:r>
      <w:r>
        <w:rPr>
          <w:rFonts w:hint="eastAsia" w:ascii="仿宋" w:hAnsi="仿宋" w:eastAsia="仿宋" w:cs="仿宋"/>
          <w:color w:val="auto"/>
          <w:sz w:val="24"/>
          <w:highlight w:val="none"/>
          <w:lang w:val="zh-CN"/>
        </w:rPr>
        <w:t>因本合同（协议）引起的一切争议，由双方当事人协商解决；协商不成，双方将争议提交</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zh-CN"/>
        </w:rPr>
        <w:t>所在地人民法院解决。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  </w:t>
      </w:r>
      <w:r>
        <w:rPr>
          <w:rFonts w:hint="eastAsia" w:ascii="仿宋" w:hAnsi="仿宋" w:eastAsia="仿宋" w:cs="仿宋"/>
          <w:color w:val="auto"/>
          <w:sz w:val="24"/>
          <w:highlight w:val="none"/>
          <w:lang w:val="zh-CN"/>
        </w:rPr>
        <w:t>通知及送达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8.1  </w:t>
      </w:r>
      <w:r>
        <w:rPr>
          <w:rFonts w:hint="eastAsia" w:ascii="仿宋" w:hAnsi="仿宋" w:eastAsia="仿宋" w:cs="仿宋"/>
          <w:color w:val="auto"/>
          <w:sz w:val="24"/>
          <w:highlight w:val="none"/>
          <w:lang w:val="zh-CN"/>
        </w:rPr>
        <w:t>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联系地址：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联系地址：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8.2  </w:t>
      </w:r>
      <w:r>
        <w:rPr>
          <w:rFonts w:hint="eastAsia" w:ascii="仿宋" w:hAnsi="仿宋" w:eastAsia="仿宋" w:cs="仿宋"/>
          <w:color w:val="auto"/>
          <w:sz w:val="24"/>
          <w:highlight w:val="none"/>
          <w:lang w:val="zh-CN"/>
        </w:rPr>
        <w:t xml:space="preserve">任何一方变更本合同所示的项目联系人及联系方式，应提前3日书面通知对方。否则对方有权依据本合同载明的联络信息进行联系，且视为送达。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  </w:t>
      </w:r>
      <w:r>
        <w:rPr>
          <w:rFonts w:hint="eastAsia" w:ascii="仿宋" w:hAnsi="仿宋" w:eastAsia="仿宋" w:cs="仿宋"/>
          <w:color w:val="auto"/>
          <w:sz w:val="24"/>
          <w:highlight w:val="none"/>
          <w:lang w:val="zh-CN"/>
        </w:rPr>
        <w:t>其他约定事项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9.1  </w:t>
      </w:r>
      <w:r>
        <w:rPr>
          <w:rFonts w:hint="eastAsia" w:ascii="仿宋" w:hAnsi="仿宋" w:eastAsia="仿宋" w:cs="仿宋"/>
          <w:color w:val="auto"/>
          <w:sz w:val="24"/>
          <w:highlight w:val="none"/>
          <w:lang w:val="zh-CN"/>
        </w:rPr>
        <w:t xml:space="preserve">双方往来均以书面形式（指合同书、函件、传真）为准。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9.2  </w:t>
      </w:r>
      <w:r>
        <w:rPr>
          <w:rFonts w:hint="eastAsia" w:ascii="仿宋" w:hAnsi="仿宋" w:eastAsia="仿宋" w:cs="仿宋"/>
          <w:color w:val="auto"/>
          <w:sz w:val="24"/>
          <w:highlight w:val="none"/>
          <w:lang w:val="zh-CN"/>
        </w:rPr>
        <w:t>本合同一式肆份，甲方贰份，乙方贰份，</w:t>
      </w:r>
      <w:r>
        <w:rPr>
          <w:rFonts w:hint="eastAsia" w:ascii="仿宋" w:hAnsi="仿宋" w:eastAsia="仿宋" w:cs="仿宋"/>
          <w:color w:val="auto"/>
          <w:sz w:val="24"/>
          <w:highlight w:val="none"/>
          <w:lang w:val="en-US" w:eastAsia="zh-CN"/>
        </w:rPr>
        <w:t>均具有同等法律效力</w:t>
      </w:r>
      <w:r>
        <w:rPr>
          <w:rFonts w:hint="eastAsia" w:ascii="仿宋" w:hAnsi="仿宋" w:eastAsia="仿宋" w:cs="仿宋"/>
          <w:color w:val="auto"/>
          <w:sz w:val="24"/>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法人代表（签章）：                  法人代表（签章）：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签署日期：2024年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5"/>
        <w:ind w:firstLine="0"/>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附件；</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p>
    <w:p>
      <w:pPr>
        <w:rPr>
          <w:rFonts w:hint="eastAsia" w:ascii="楷体" w:hAnsi="楷体" w:eastAsia="楷体" w:cs="楷体"/>
          <w:b/>
          <w:bCs/>
          <w:kern w:val="44"/>
          <w:sz w:val="24"/>
          <w:szCs w:val="24"/>
        </w:rPr>
      </w:pPr>
      <w:r>
        <w:rPr>
          <w:rFonts w:ascii="仿宋" w:hAnsi="仿宋" w:eastAsia="仿宋"/>
          <w:color w:val="000000"/>
          <w:sz w:val="24"/>
          <w:szCs w:val="24"/>
        </w:rPr>
        <w:br w:type="page"/>
      </w:r>
    </w:p>
    <w:p>
      <w:pPr>
        <w:pStyle w:val="27"/>
        <w:spacing w:line="360" w:lineRule="auto"/>
        <w:ind w:firstLine="0" w:firstLineChars="0"/>
        <w:jc w:val="center"/>
        <w:rPr>
          <w:rFonts w:hint="eastAsia" w:ascii="楷体" w:hAnsi="楷体" w:eastAsia="楷体" w:cs="楷体"/>
          <w:b/>
          <w:bCs/>
          <w:kern w:val="44"/>
          <w:sz w:val="24"/>
          <w:szCs w:val="24"/>
          <w:lang w:eastAsia="zh-CN"/>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四</w:t>
      </w:r>
      <w:r>
        <w:rPr>
          <w:rFonts w:hint="eastAsia" w:ascii="楷体" w:hAnsi="楷体" w:eastAsia="楷体" w:cs="楷体"/>
          <w:b/>
          <w:bCs/>
          <w:kern w:val="44"/>
          <w:sz w:val="24"/>
          <w:szCs w:val="24"/>
        </w:rPr>
        <w:t>章报价书</w:t>
      </w:r>
      <w:r>
        <w:rPr>
          <w:rFonts w:hint="eastAsia" w:ascii="楷体" w:hAnsi="楷体" w:eastAsia="楷体" w:cs="楷体"/>
          <w:b/>
          <w:bCs/>
          <w:kern w:val="44"/>
          <w:sz w:val="24"/>
          <w:szCs w:val="24"/>
          <w:lang w:eastAsia="zh-CN"/>
        </w:rPr>
        <w:t>（</w:t>
      </w:r>
      <w:r>
        <w:rPr>
          <w:rFonts w:hint="eastAsia" w:ascii="楷体" w:hAnsi="楷体" w:eastAsia="楷体" w:cs="楷体"/>
          <w:b/>
          <w:bCs/>
          <w:kern w:val="44"/>
          <w:sz w:val="24"/>
          <w:szCs w:val="24"/>
          <w:lang w:val="en-US" w:eastAsia="zh-CN"/>
        </w:rPr>
        <w:t>格式</w:t>
      </w:r>
      <w:r>
        <w:rPr>
          <w:rFonts w:hint="eastAsia" w:ascii="楷体" w:hAnsi="楷体" w:eastAsia="楷体" w:cs="楷体"/>
          <w:b/>
          <w:bCs/>
          <w:kern w:val="44"/>
          <w:sz w:val="24"/>
          <w:szCs w:val="24"/>
          <w:lang w:eastAsia="zh-CN"/>
        </w:rPr>
        <w:t>）</w:t>
      </w:r>
    </w:p>
    <w:p>
      <w:pPr>
        <w:pStyle w:val="27"/>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仿宋" w:hAnsi="仿宋" w:eastAsia="仿宋" w:cs="Times New Roman"/>
          <w:b/>
          <w:bCs/>
          <w:kern w:val="2"/>
          <w:sz w:val="44"/>
          <w:szCs w:val="44"/>
          <w:lang w:val="en-US" w:eastAsia="zh-CN" w:bidi="ar-SA"/>
        </w:rPr>
      </w:pPr>
      <w:r>
        <w:rPr>
          <w:rFonts w:hint="eastAsia" w:ascii="仿宋" w:hAnsi="仿宋" w:eastAsia="仿宋" w:cs="Times New Roman"/>
          <w:b/>
          <w:bCs/>
          <w:kern w:val="2"/>
          <w:sz w:val="44"/>
          <w:szCs w:val="44"/>
          <w:lang w:val="en-US" w:eastAsia="zh-CN" w:bidi="ar-SA"/>
        </w:rPr>
        <w:t>报价表</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rPr>
          <w:rFonts w:hint="eastAsia" w:ascii="楷体" w:hAnsi="楷体" w:eastAsia="楷体" w:cs="楷体"/>
          <w:sz w:val="24"/>
          <w:szCs w:val="24"/>
        </w:rPr>
      </w:pPr>
      <w:r>
        <w:rPr>
          <w:rFonts w:hint="eastAsia" w:ascii="楷体" w:hAnsi="楷体" w:eastAsia="楷体" w:cs="楷体"/>
          <w:sz w:val="24"/>
          <w:szCs w:val="24"/>
          <w:lang w:val="en-US"/>
        </w:rPr>
        <w:t>1、项目名称；</w:t>
      </w:r>
      <w:r>
        <w:rPr>
          <w:rFonts w:hint="eastAsia" w:ascii="楷体" w:hAnsi="楷体" w:eastAsia="楷体" w:cs="楷体"/>
          <w:sz w:val="24"/>
          <w:szCs w:val="24"/>
          <w:lang w:val="en-US" w:eastAsia="zh-CN"/>
        </w:rPr>
        <w:t>HDPE塑料管及橡胶圈采</w:t>
      </w:r>
      <w:r>
        <w:rPr>
          <w:rFonts w:hint="eastAsia" w:ascii="楷体" w:hAnsi="楷体" w:eastAsia="楷体" w:cs="楷体"/>
          <w:sz w:val="24"/>
          <w:szCs w:val="24"/>
          <w:lang w:val="zh-CN" w:eastAsia="zh-CN"/>
        </w:rPr>
        <w:t>购</w:t>
      </w:r>
      <w:r>
        <w:rPr>
          <w:rFonts w:hint="eastAsia" w:ascii="楷体" w:hAnsi="楷体" w:eastAsia="楷体" w:cs="楷体"/>
          <w:sz w:val="24"/>
          <w:szCs w:val="24"/>
          <w:lang w:val="en-US" w:eastAsia="zh-CN"/>
        </w:rPr>
        <w:t>项目</w:t>
      </w:r>
    </w:p>
    <w:p>
      <w:pPr>
        <w:pStyle w:val="27"/>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r>
        <w:rPr>
          <w:rFonts w:hint="eastAsia" w:ascii="楷体" w:hAnsi="楷体" w:eastAsia="楷体" w:cs="楷体"/>
          <w:sz w:val="24"/>
          <w:szCs w:val="24"/>
        </w:rPr>
        <w:t>本合同计价货币、结算货币和支付货币均为人民币。</w:t>
      </w:r>
    </w:p>
    <w:tbl>
      <w:tblPr>
        <w:tblStyle w:val="19"/>
        <w:tblW w:w="8715" w:type="dxa"/>
        <w:jc w:val="center"/>
        <w:tblLayout w:type="fixed"/>
        <w:tblCellMar>
          <w:top w:w="0" w:type="dxa"/>
          <w:left w:w="108" w:type="dxa"/>
          <w:bottom w:w="0" w:type="dxa"/>
          <w:right w:w="108" w:type="dxa"/>
        </w:tblCellMar>
      </w:tblPr>
      <w:tblGrid>
        <w:gridCol w:w="466"/>
        <w:gridCol w:w="2370"/>
        <w:gridCol w:w="1191"/>
        <w:gridCol w:w="663"/>
        <w:gridCol w:w="911"/>
        <w:gridCol w:w="1263"/>
        <w:gridCol w:w="1096"/>
        <w:gridCol w:w="755"/>
      </w:tblGrid>
      <w:tr>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序号</w:t>
            </w:r>
          </w:p>
        </w:tc>
        <w:tc>
          <w:tcPr>
            <w:tcW w:w="2370" w:type="dxa"/>
            <w:tcBorders>
              <w:top w:val="single" w:color="000000" w:sz="4" w:space="0"/>
              <w:left w:val="single" w:color="000000" w:sz="4" w:space="0"/>
              <w:bottom w:val="nil"/>
              <w:right w:val="single" w:color="auto"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名称</w:t>
            </w:r>
          </w:p>
        </w:tc>
        <w:tc>
          <w:tcPr>
            <w:tcW w:w="1191"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规格型号</w:t>
            </w:r>
          </w:p>
        </w:tc>
        <w:tc>
          <w:tcPr>
            <w:tcW w:w="663"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单位</w:t>
            </w:r>
          </w:p>
        </w:tc>
        <w:tc>
          <w:tcPr>
            <w:tcW w:w="911" w:type="dxa"/>
            <w:tcBorders>
              <w:top w:val="single" w:color="000000" w:sz="4" w:space="0"/>
              <w:left w:val="single" w:color="000000" w:sz="4" w:space="0"/>
              <w:bottom w:val="nil"/>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暂定</w:t>
            </w:r>
          </w:p>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数量</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 xml:space="preserve">含税单价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含税</w:t>
            </w:r>
          </w:p>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合价</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备注</w:t>
            </w: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DN200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300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DN300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DN400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240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DN600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744</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（甲供）HDPE双壁波纹管 DN800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90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（甲供）HDPE增强中空壁缠绕管（A管） DN1000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环刚度≥8KN/m2</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（甲供）HDPE增强中空壁缠绕管（A管） DN900 环刚度≧8KN/m2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DN200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DN300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DN400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DN600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262626"/>
                <w:kern w:val="0"/>
                <w:sz w:val="21"/>
                <w:szCs w:val="21"/>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(甲供)橡胶圈 DN800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000000"/>
                <w:kern w:val="0"/>
                <w:sz w:val="18"/>
                <w:szCs w:val="18"/>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18</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(甲供)止水胶圈 DN1000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19</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(甲供)止水胶圈 DN900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126" w:leftChars="17" w:right="-391" w:rightChars="-186" w:hanging="90" w:hangingChars="5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提供增值税专用发票税率</w:t>
            </w:r>
          </w:p>
        </w:tc>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r>
      <w:tr>
        <w:tblPrEx>
          <w:tblCellMar>
            <w:top w:w="0" w:type="dxa"/>
            <w:left w:w="108" w:type="dxa"/>
            <w:bottom w:w="0" w:type="dxa"/>
            <w:right w:w="108" w:type="dxa"/>
          </w:tblCellMar>
        </w:tblPrEx>
        <w:trPr>
          <w:trHeight w:val="517" w:hRule="atLeast"/>
          <w:jc w:val="center"/>
        </w:trPr>
        <w:tc>
          <w:tcPr>
            <w:tcW w:w="871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firstLine="0" w:firstLineChars="0"/>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szCs w:val="21"/>
                <w:highlight w:val="none"/>
                <w:lang w:val="en-US" w:eastAsia="zh-CN"/>
              </w:rPr>
              <w:t>备注：</w:t>
            </w:r>
            <w:r>
              <w:rPr>
                <w:rFonts w:hint="eastAsia" w:ascii="仿宋" w:hAnsi="仿宋" w:eastAsia="仿宋" w:cs="仿宋"/>
                <w:color w:val="auto"/>
                <w:kern w:val="0"/>
                <w:szCs w:val="21"/>
                <w:highlight w:val="none"/>
                <w:lang w:bidi="ar"/>
              </w:rPr>
              <w:t>（1）相关标准规范：</w:t>
            </w:r>
          </w:p>
          <w:p>
            <w:pPr>
              <w:widowControl/>
              <w:spacing w:line="240" w:lineRule="auto"/>
              <w:ind w:left="0" w:leftChars="0" w:right="0" w:rightChars="0" w:firstLine="0" w:firstLineChars="0"/>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HDPE 双壁波纹管执行GB/T19472.1-2019《埋地用聚乙烯(PE)结构壁管道系统第1部分：聚乙烯双壁波纹管材》,HDPE 增强中空壁缠绕管执行(GB/T19472.2--2017)《埋地用聚乙烯(PE)结构壁管道系统第 2部分：聚乙烯缠绕结构壁管材》标准，如国家标准有更新，则参照最新国家标准执行。</w:t>
            </w:r>
          </w:p>
          <w:p>
            <w:pPr>
              <w:widowControl/>
              <w:numPr>
                <w:ilvl w:val="0"/>
                <w:numId w:val="1"/>
              </w:numPr>
              <w:spacing w:line="240" w:lineRule="auto"/>
              <w:ind w:left="0" w:leftChars="0" w:right="0" w:rightChars="0" w:firstLine="0" w:firstLineChars="0"/>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质量基本条件：质量等级及相关质量参数需具备检测资质的第三方机构检测报告</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提供一份HDPE管类型的检测报告即可</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w:t>
            </w:r>
          </w:p>
          <w:p>
            <w:pPr>
              <w:widowControl/>
              <w:spacing w:line="240" w:lineRule="auto"/>
              <w:ind w:left="0" w:leftChars="0" w:right="0" w:rightChars="0" w:firstLine="0" w:firstLineChars="0"/>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3）</w:t>
            </w:r>
            <w:r>
              <w:rPr>
                <w:rFonts w:hint="eastAsia" w:ascii="仿宋" w:hAnsi="仿宋" w:eastAsia="仿宋" w:cs="仿宋"/>
                <w:color w:val="auto"/>
                <w:kern w:val="0"/>
                <w:szCs w:val="21"/>
                <w:highlight w:val="none"/>
                <w:lang w:bidi="ar"/>
              </w:rPr>
              <w:t>其他相关要求：正式送货之前，如需乙方提供样品，甲方应提前通知乙方。</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注：</w:t>
            </w:r>
            <w:r>
              <w:rPr>
                <w:rFonts w:hint="eastAsia" w:ascii="仿宋" w:hAnsi="仿宋" w:eastAsia="仿宋" w:cs="仿宋"/>
                <w:color w:val="auto"/>
                <w:kern w:val="0"/>
                <w:szCs w:val="21"/>
                <w:highlight w:val="none"/>
                <w:lang w:bidi="ar"/>
              </w:rPr>
              <w:t>甲方是海南洋浦陆海国际贸易有限公司，乙方是本次参加询价进行报价的单位</w:t>
            </w:r>
            <w:r>
              <w:rPr>
                <w:rFonts w:hint="eastAsia" w:ascii="仿宋" w:hAnsi="仿宋" w:eastAsia="仿宋" w:cs="仿宋"/>
                <w:color w:val="auto"/>
                <w:kern w:val="0"/>
                <w:szCs w:val="21"/>
                <w:highlight w:val="none"/>
                <w:lang w:eastAsia="zh-CN" w:bidi="ar"/>
              </w:rPr>
              <w:t>）</w:t>
            </w:r>
          </w:p>
          <w:p>
            <w:pPr>
              <w:widowControl/>
              <w:spacing w:line="240" w:lineRule="auto"/>
              <w:ind w:left="0" w:leftChars="0" w:right="0" w:rightChars="0" w:firstLine="0" w:firstLineChars="0"/>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val="en-US" w:eastAsia="zh-CN" w:bidi="ar"/>
              </w:rPr>
              <w:t>8</w:t>
            </w:r>
            <w:r>
              <w:rPr>
                <w:rFonts w:hint="eastAsia" w:ascii="仿宋" w:hAnsi="仿宋" w:eastAsia="仿宋" w:cs="仿宋"/>
                <w:color w:val="auto"/>
                <w:kern w:val="0"/>
                <w:szCs w:val="21"/>
                <w:highlight w:val="none"/>
                <w:lang w:bidi="ar"/>
              </w:rPr>
              <w:t>.供应商结算方式：甲方是海南洋浦陆海国际贸易有限公司，乙方是</w:t>
            </w:r>
            <w:bookmarkStart w:id="12" w:name="_GoBack"/>
            <w:bookmarkEnd w:id="12"/>
            <w:r>
              <w:rPr>
                <w:rFonts w:hint="eastAsia" w:ascii="仿宋" w:hAnsi="仿宋" w:eastAsia="仿宋" w:cs="仿宋"/>
                <w:color w:val="auto"/>
                <w:kern w:val="0"/>
                <w:szCs w:val="21"/>
                <w:highlight w:val="none"/>
                <w:lang w:bidi="ar"/>
              </w:rPr>
              <w:t>本次参加询价进行报价的单位，本次报价结算方式为月结，当月20日至次月19日为一个结算周期。乙方将货物运至项目地点，结算周期结束后5日内双方就供应合格物资对账办理结算；对账结算完毕，乙方提交对应金额的发票，甲方收到发票后15个工作日内以包括但不限于现金、银行转账、银行承兑汇票等支付该月结算物资价款的</w:t>
            </w:r>
            <w:r>
              <w:rPr>
                <w:rFonts w:hint="eastAsia" w:ascii="仿宋" w:hAnsi="仿宋" w:eastAsia="仿宋" w:cs="仿宋"/>
                <w:color w:val="auto"/>
                <w:kern w:val="0"/>
                <w:szCs w:val="21"/>
                <w:highlight w:val="none"/>
                <w:lang w:val="en-US" w:eastAsia="zh-CN" w:bidi="ar"/>
              </w:rPr>
              <w:t>100</w:t>
            </w:r>
            <w:r>
              <w:rPr>
                <w:rFonts w:hint="eastAsia" w:ascii="仿宋" w:hAnsi="仿宋" w:eastAsia="仿宋" w:cs="仿宋"/>
                <w:color w:val="auto"/>
                <w:kern w:val="0"/>
                <w:szCs w:val="21"/>
                <w:highlight w:val="none"/>
                <w:lang w:bidi="ar"/>
              </w:rPr>
              <w:t>%。（如甲方以银行承兑方式支付货款的，承兑贴现利息由甲方承担）</w:t>
            </w:r>
          </w:p>
          <w:p>
            <w:pPr>
              <w:widowControl/>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Cs w:val="21"/>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报价单位</w:t>
      </w:r>
      <w:r>
        <w:rPr>
          <w:rFonts w:hint="eastAsia" w:ascii="仿宋" w:hAnsi="仿宋" w:eastAsia="仿宋" w:cs="仿宋"/>
          <w:color w:val="auto"/>
          <w:sz w:val="24"/>
          <w:highlight w:val="none"/>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法定代表或授权</w:t>
      </w:r>
      <w:r>
        <w:rPr>
          <w:rFonts w:hint="eastAsia" w:ascii="仿宋" w:hAnsi="仿宋" w:eastAsia="仿宋" w:cs="仿宋"/>
          <w:color w:val="auto"/>
          <w:sz w:val="24"/>
          <w:highlight w:val="none"/>
        </w:rPr>
        <w:t>代表（签章）：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pPr>
        <w:rPr>
          <w:rFonts w:hint="default" w:ascii="楷体" w:hAnsi="楷体" w:eastAsia="楷体" w:cs="楷体"/>
          <w:i w:val="0"/>
          <w:iCs w:val="0"/>
          <w:sz w:val="24"/>
          <w:szCs w:val="24"/>
          <w:lang w:val="en-US" w:eastAsia="zh-CN"/>
        </w:rPr>
      </w:pPr>
      <w:r>
        <w:rPr>
          <w:rFonts w:hint="eastAsia" w:ascii="仿宋" w:hAnsi="仿宋" w:eastAsia="仿宋" w:cs="仿宋"/>
          <w:color w:val="auto"/>
          <w:sz w:val="24"/>
          <w:highlight w:val="none"/>
        </w:rPr>
        <w:br w:type="page"/>
      </w:r>
    </w:p>
    <w:p>
      <w:pPr>
        <w:pStyle w:val="4"/>
        <w:rPr>
          <w:rFonts w:hint="eastAsia" w:ascii="楷体" w:hAnsi="楷体" w:eastAsia="楷体" w:cs="楷体"/>
          <w:lang w:val="en-US" w:eastAsia="zh-CN"/>
        </w:rPr>
        <w:sectPr>
          <w:pgSz w:w="11906" w:h="16838"/>
          <w:pgMar w:top="1440" w:right="1800" w:bottom="1247" w:left="1800" w:header="851" w:footer="992" w:gutter="0"/>
          <w:pgNumType w:fmt="decimal"/>
          <w:cols w:space="0" w:num="1"/>
          <w:docGrid w:type="lines" w:linePitch="312" w:charSpace="0"/>
        </w:sectPr>
      </w:pPr>
    </w:p>
    <w:p>
      <w:pPr>
        <w:snapToGrid w:val="0"/>
        <w:spacing w:line="480" w:lineRule="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附件一：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kern w:val="2"/>
          <w:sz w:val="44"/>
          <w:szCs w:val="44"/>
          <w:lang w:val="en-US" w:eastAsia="zh-CN" w:bidi="ar-SA"/>
        </w:rPr>
      </w:pPr>
      <w:r>
        <w:rPr>
          <w:rFonts w:hint="eastAsia" w:ascii="仿宋" w:hAnsi="仿宋" w:eastAsia="仿宋" w:cs="Times New Roman"/>
          <w:b/>
          <w:bCs/>
          <w:kern w:val="2"/>
          <w:sz w:val="44"/>
          <w:szCs w:val="44"/>
          <w:lang w:val="en-US" w:eastAsia="zh-CN" w:bidi="ar-SA"/>
        </w:rPr>
        <w:t>报价承诺函</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海南洋浦陆海国际贸易有限公司：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 xml:space="preserve">    我单位对贵单位所发的</w:t>
      </w:r>
      <w:r>
        <w:rPr>
          <w:rFonts w:hint="eastAsia" w:ascii="楷体" w:hAnsi="楷体" w:eastAsia="楷体" w:cs="楷体"/>
          <w:sz w:val="24"/>
          <w:szCs w:val="24"/>
          <w:lang w:val="en-US" w:eastAsia="zh-CN"/>
        </w:rPr>
        <w:t>公开询价报价</w:t>
      </w:r>
      <w:r>
        <w:rPr>
          <w:rFonts w:hint="eastAsia" w:ascii="楷体" w:hAnsi="楷体" w:eastAsia="楷体" w:cs="楷体"/>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1、我单位所报的单价，已充分考虑了</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文件及采购合同要求</w:t>
      </w:r>
      <w:r>
        <w:rPr>
          <w:rFonts w:hint="eastAsia" w:ascii="楷体" w:hAnsi="楷体" w:eastAsia="楷体" w:cs="楷体"/>
          <w:sz w:val="24"/>
          <w:szCs w:val="24"/>
          <w:lang w:eastAsia="zh-CN"/>
        </w:rPr>
        <w:t>成交</w:t>
      </w:r>
      <w:r>
        <w:rPr>
          <w:rFonts w:hint="eastAsia" w:ascii="楷体" w:hAnsi="楷体" w:eastAsia="楷体" w:cs="楷体"/>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2、若我单位</w:t>
      </w:r>
      <w:r>
        <w:rPr>
          <w:rFonts w:hint="eastAsia" w:ascii="楷体" w:hAnsi="楷体" w:eastAsia="楷体" w:cs="楷体"/>
          <w:sz w:val="24"/>
          <w:szCs w:val="24"/>
          <w:lang w:eastAsia="zh-CN"/>
        </w:rPr>
        <w:t>成交</w:t>
      </w:r>
      <w:r>
        <w:rPr>
          <w:rFonts w:hint="eastAsia" w:ascii="楷体" w:hAnsi="楷体" w:eastAsia="楷体" w:cs="楷体"/>
          <w:sz w:val="24"/>
          <w:szCs w:val="24"/>
        </w:rPr>
        <w:t>，除非贵单位要求，我单位将不主动要求调整采购合同条款。否则，贵单位可以随时取消我单位的</w:t>
      </w:r>
      <w:r>
        <w:rPr>
          <w:rFonts w:hint="eastAsia" w:ascii="楷体" w:hAnsi="楷体" w:eastAsia="楷体" w:cs="楷体"/>
          <w:sz w:val="24"/>
          <w:szCs w:val="24"/>
          <w:lang w:eastAsia="zh-CN"/>
        </w:rPr>
        <w:t>成交</w:t>
      </w:r>
      <w:r>
        <w:rPr>
          <w:rFonts w:hint="eastAsia" w:ascii="楷体" w:hAnsi="楷体" w:eastAsia="楷体" w:cs="楷体"/>
          <w:sz w:val="24"/>
          <w:szCs w:val="24"/>
        </w:rPr>
        <w:t>资格。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4、我单位的《</w:t>
      </w:r>
      <w:r>
        <w:rPr>
          <w:rFonts w:hint="eastAsia" w:ascii="楷体" w:hAnsi="楷体" w:eastAsia="楷体" w:cs="楷体"/>
          <w:sz w:val="24"/>
          <w:szCs w:val="24"/>
          <w:lang w:val="en-US" w:eastAsia="zh-CN"/>
        </w:rPr>
        <w:t>报价</w:t>
      </w:r>
      <w:r>
        <w:rPr>
          <w:rFonts w:hint="eastAsia" w:ascii="楷体" w:hAnsi="楷体" w:eastAsia="楷体" w:cs="楷体"/>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5、若我单位没有</w:t>
      </w:r>
      <w:r>
        <w:rPr>
          <w:rFonts w:hint="eastAsia" w:ascii="楷体" w:hAnsi="楷体" w:eastAsia="楷体" w:cs="楷体"/>
          <w:sz w:val="24"/>
          <w:szCs w:val="24"/>
          <w:lang w:eastAsia="zh-CN"/>
        </w:rPr>
        <w:t>成交</w:t>
      </w:r>
      <w:r>
        <w:rPr>
          <w:rFonts w:hint="eastAsia" w:ascii="楷体" w:hAnsi="楷体" w:eastAsia="楷体" w:cs="楷体"/>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、若我单位</w:t>
      </w:r>
      <w:r>
        <w:rPr>
          <w:rFonts w:hint="eastAsia" w:ascii="楷体" w:hAnsi="楷体" w:eastAsia="楷体" w:cs="楷体"/>
          <w:sz w:val="24"/>
          <w:szCs w:val="24"/>
          <w:lang w:eastAsia="zh-CN"/>
        </w:rPr>
        <w:t>成交</w:t>
      </w:r>
      <w:r>
        <w:rPr>
          <w:rFonts w:hint="eastAsia" w:ascii="楷体" w:hAnsi="楷体" w:eastAsia="楷体" w:cs="楷体"/>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、我单位将严格按照</w:t>
      </w:r>
      <w:r>
        <w:rPr>
          <w:rFonts w:hint="eastAsia" w:ascii="楷体" w:hAnsi="楷体" w:eastAsia="楷体" w:cs="楷体"/>
          <w:sz w:val="24"/>
          <w:szCs w:val="24"/>
          <w:lang w:eastAsia="zh-CN"/>
        </w:rPr>
        <w:t>贵单位</w:t>
      </w:r>
      <w:r>
        <w:rPr>
          <w:rFonts w:hint="eastAsia" w:ascii="楷体" w:hAnsi="楷体" w:eastAsia="楷体" w:cs="楷体"/>
          <w:sz w:val="24"/>
          <w:szCs w:val="24"/>
        </w:rPr>
        <w:t>的要求提供工程所需材料</w:t>
      </w:r>
      <w:r>
        <w:rPr>
          <w:rFonts w:hint="eastAsia" w:ascii="楷体" w:hAnsi="楷体" w:eastAsia="楷体" w:cs="楷体"/>
          <w:sz w:val="24"/>
          <w:szCs w:val="24"/>
          <w:lang w:eastAsia="zh-CN"/>
        </w:rPr>
        <w:t>及品牌要求</w:t>
      </w:r>
      <w:r>
        <w:rPr>
          <w:rFonts w:hint="eastAsia" w:ascii="楷体" w:hAnsi="楷体" w:eastAsia="楷体" w:cs="楷体"/>
          <w:sz w:val="24"/>
          <w:szCs w:val="24"/>
        </w:rPr>
        <w:t>，在供货过程中</w:t>
      </w:r>
      <w:r>
        <w:rPr>
          <w:rFonts w:hint="eastAsia" w:ascii="楷体" w:hAnsi="楷体" w:eastAsia="楷体" w:cs="楷体"/>
          <w:sz w:val="24"/>
          <w:szCs w:val="24"/>
          <w:lang w:eastAsia="zh-CN"/>
        </w:rPr>
        <w:t>确保材料复试检测合格，如</w:t>
      </w:r>
      <w:r>
        <w:rPr>
          <w:rFonts w:hint="eastAsia" w:ascii="楷体" w:hAnsi="楷体" w:eastAsia="楷体" w:cs="楷体"/>
          <w:sz w:val="24"/>
          <w:szCs w:val="24"/>
        </w:rPr>
        <w:t>出现质量问题我单位将及时调换合格材料进场，如因材料质量问题而造成工期延误，我单位承诺接受</w:t>
      </w:r>
      <w:r>
        <w:rPr>
          <w:rFonts w:hint="eastAsia" w:ascii="楷体" w:hAnsi="楷体" w:eastAsia="楷体" w:cs="楷体"/>
          <w:sz w:val="24"/>
          <w:szCs w:val="24"/>
          <w:lang w:val="en-US" w:eastAsia="zh-CN"/>
        </w:rPr>
        <w:t>按照合同违约条款进行处罚</w:t>
      </w:r>
      <w:r>
        <w:rPr>
          <w:rFonts w:hint="eastAsia" w:ascii="楷体" w:hAnsi="楷体" w:eastAsia="楷体" w:cs="楷体"/>
          <w:sz w:val="24"/>
          <w:szCs w:val="24"/>
        </w:rPr>
        <w:t>，在供货过程中保证供应材料为</w:t>
      </w:r>
      <w:r>
        <w:rPr>
          <w:rFonts w:hint="eastAsia" w:ascii="楷体" w:hAnsi="楷体" w:eastAsia="楷体" w:cs="楷体"/>
          <w:sz w:val="24"/>
          <w:szCs w:val="24"/>
          <w:lang w:eastAsia="zh-CN"/>
        </w:rPr>
        <w:t>询比价</w:t>
      </w:r>
      <w:r>
        <w:rPr>
          <w:rFonts w:hint="eastAsia" w:ascii="楷体" w:hAnsi="楷体" w:eastAsia="楷体" w:cs="楷体"/>
          <w:sz w:val="24"/>
          <w:szCs w:val="24"/>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r>
        <w:rPr>
          <w:rFonts w:hint="eastAsia" w:ascii="楷体" w:hAnsi="楷体" w:eastAsia="楷体" w:cs="楷体"/>
          <w:sz w:val="24"/>
          <w:szCs w:val="24"/>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sz w:val="24"/>
          <w:szCs w:val="24"/>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0</w:t>
      </w:r>
      <w:r>
        <w:rPr>
          <w:rFonts w:hint="eastAsia" w:ascii="楷体" w:hAnsi="楷体" w:eastAsia="楷体" w:cs="楷体"/>
          <w:sz w:val="24"/>
          <w:szCs w:val="24"/>
        </w:rPr>
        <w:t>、我单位郑重承诺：我单位对</w:t>
      </w:r>
      <w:r>
        <w:rPr>
          <w:rFonts w:hint="eastAsia" w:ascii="楷体" w:hAnsi="楷体" w:eastAsia="楷体" w:cs="楷体"/>
          <w:sz w:val="24"/>
          <w:szCs w:val="24"/>
          <w:lang w:eastAsia="zh-CN"/>
        </w:rPr>
        <w:t>公开询价报价</w:t>
      </w:r>
      <w:r>
        <w:rPr>
          <w:rFonts w:hint="eastAsia" w:ascii="楷体" w:hAnsi="楷体" w:eastAsia="楷体" w:cs="楷体"/>
          <w:sz w:val="24"/>
          <w:szCs w:val="24"/>
        </w:rPr>
        <w:t>单位提供的</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1</w:t>
      </w:r>
      <w:r>
        <w:rPr>
          <w:rFonts w:hint="eastAsia" w:ascii="楷体" w:hAnsi="楷体" w:eastAsia="楷体" w:cs="楷体"/>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报价</w:t>
      </w:r>
      <w:r>
        <w:rPr>
          <w:rFonts w:hint="eastAsia" w:ascii="楷体" w:hAnsi="楷体" w:eastAsia="楷体" w:cs="楷体"/>
          <w:b/>
          <w:bCs/>
          <w:sz w:val="24"/>
          <w:szCs w:val="24"/>
        </w:rPr>
        <w:t>单位：（章）</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法人代表：（章）</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仿宋" w:hAnsi="仿宋" w:eastAsia="仿宋" w:cs="Times New Roman"/>
          <w:sz w:val="24"/>
          <w:szCs w:val="24"/>
          <w:lang w:val="en-US" w:eastAsia="zh-CN"/>
        </w:rPr>
      </w:pPr>
      <w:r>
        <w:rPr>
          <w:rFonts w:hint="eastAsia" w:ascii="楷体" w:hAnsi="楷体" w:eastAsia="楷体" w:cs="楷体"/>
          <w:b/>
          <w:bCs/>
          <w:sz w:val="24"/>
          <w:szCs w:val="24"/>
        </w:rPr>
        <w:t>日    期</w:t>
      </w:r>
      <w:r>
        <w:rPr>
          <w:rFonts w:hint="eastAsia" w:ascii="楷体" w:hAnsi="楷体" w:eastAsia="楷体" w:cs="楷体"/>
          <w:sz w:val="24"/>
          <w:szCs w:val="24"/>
        </w:rPr>
        <w:t>：</w:t>
      </w:r>
      <w:r>
        <w:rPr>
          <w:rFonts w:hint="eastAsia" w:ascii="仿宋" w:hAnsi="仿宋" w:eastAsia="仿宋" w:cs="Times New Roman"/>
          <w:sz w:val="24"/>
          <w:szCs w:val="24"/>
          <w:lang w:val="en-US" w:eastAsia="zh-CN"/>
        </w:rPr>
        <w:br w:type="page"/>
      </w:r>
    </w:p>
    <w:p>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w:t>
      </w:r>
      <w:r>
        <w:rPr>
          <w:rFonts w:hint="eastAsia" w:ascii="仿宋" w:hAnsi="仿宋" w:eastAsia="仿宋"/>
          <w:color w:val="000000"/>
          <w:sz w:val="24"/>
          <w:szCs w:val="24"/>
          <w:lang w:val="en-US" w:eastAsia="zh-CN"/>
        </w:rPr>
        <w:t>二</w:t>
      </w:r>
      <w:r>
        <w:rPr>
          <w:rFonts w:hint="eastAsia" w:ascii="仿宋" w:hAnsi="仿宋" w:eastAsia="仿宋"/>
          <w:color w:val="000000"/>
          <w:sz w:val="24"/>
          <w:szCs w:val="24"/>
        </w:rPr>
        <w:t>：</w:t>
      </w:r>
    </w:p>
    <w:p>
      <w:pPr>
        <w:pStyle w:val="3"/>
        <w:numPr>
          <w:ilvl w:val="0"/>
          <w:numId w:val="0"/>
        </w:numPr>
        <w:spacing w:before="0" w:line="240" w:lineRule="auto"/>
        <w:ind w:leftChars="0"/>
        <w:jc w:val="center"/>
        <w:rPr>
          <w:rFonts w:hint="eastAsia" w:ascii="楷体" w:hAnsi="楷体" w:eastAsia="楷体" w:cs="楷体"/>
          <w:sz w:val="24"/>
          <w:szCs w:val="24"/>
        </w:rPr>
      </w:pPr>
      <w:r>
        <w:rPr>
          <w:rFonts w:hint="eastAsia" w:ascii="楷体" w:hAnsi="楷体" w:eastAsia="楷体" w:cs="楷体"/>
          <w:sz w:val="24"/>
          <w:szCs w:val="24"/>
        </w:rPr>
        <w:t>法定代表人授权书</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keepNext w:val="0"/>
        <w:keepLines w:val="0"/>
        <w:pageBreakBefore w:val="0"/>
        <w:widowControl w:val="0"/>
        <w:kinsoku/>
        <w:wordWrap/>
        <w:overflowPunct/>
        <w:topLinePunct w:val="0"/>
        <w:autoSpaceDE/>
        <w:autoSpaceDN/>
        <w:bidi w:val="0"/>
        <w:snapToGrid w:val="0"/>
        <w:spacing w:line="42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HDPE塑料管及橡胶圈采</w:t>
      </w:r>
      <w:r>
        <w:rPr>
          <w:rFonts w:hint="eastAsia" w:ascii="楷体" w:hAnsi="楷体" w:eastAsia="楷体" w:cs="楷体"/>
          <w:sz w:val="24"/>
          <w:szCs w:val="24"/>
          <w:u w:val="single"/>
          <w:lang w:val="zh-CN" w:eastAsia="zh-CN"/>
        </w:rPr>
        <w:t>购</w:t>
      </w:r>
      <w:r>
        <w:rPr>
          <w:rFonts w:hint="eastAsia" w:ascii="楷体" w:hAnsi="楷体" w:eastAsia="楷体" w:cs="楷体"/>
          <w:sz w:val="24"/>
          <w:szCs w:val="24"/>
          <w:u w:val="single"/>
          <w:lang w:val="en-US" w:eastAsia="zh-CN"/>
        </w:rPr>
        <w:t>项目</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w:t>
      </w:r>
      <w:r>
        <w:rPr>
          <w:rFonts w:hint="eastAsia" w:ascii="楷体" w:hAnsi="楷体" w:eastAsia="楷体" w:cs="楷体"/>
          <w:kern w:val="2"/>
          <w:sz w:val="24"/>
          <w:szCs w:val="24"/>
          <w:lang w:val="en-US" w:eastAsia="zh-CN" w:bidi="ar-SA"/>
        </w:rPr>
        <w:t>处理包</w:t>
      </w:r>
      <w:r>
        <w:rPr>
          <w:rFonts w:hint="eastAsia" w:ascii="楷体" w:hAnsi="楷体" w:eastAsia="楷体" w:cs="楷体"/>
          <w:sz w:val="24"/>
          <w:szCs w:val="24"/>
        </w:rPr>
        <w:t>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keepNext w:val="0"/>
        <w:keepLines w:val="0"/>
        <w:pageBreakBefore w:val="0"/>
        <w:widowControl w:val="0"/>
        <w:kinsoku/>
        <w:wordWrap/>
        <w:overflowPunct/>
        <w:topLinePunct w:val="0"/>
        <w:autoSpaceDE/>
        <w:autoSpaceDN/>
        <w:bidi w:val="0"/>
        <w:adjustRightInd/>
        <w:snapToGrid w:val="0"/>
        <w:spacing w:before="313" w:beforeLines="100" w:line="420" w:lineRule="exact"/>
        <w:ind w:firstLine="600" w:firstLineChars="250"/>
        <w:textAlignment w:val="auto"/>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keepNext w:val="0"/>
        <w:keepLines w:val="0"/>
        <w:pageBreakBefore w:val="0"/>
        <w:widowControl w:val="0"/>
        <w:kinsoku/>
        <w:wordWrap/>
        <w:overflowPunct/>
        <w:topLinePunct w:val="0"/>
        <w:autoSpaceDE/>
        <w:autoSpaceDN/>
        <w:bidi w:val="0"/>
        <w:spacing w:line="420" w:lineRule="exact"/>
        <w:ind w:firstLine="616" w:firstLineChars="257"/>
        <w:textAlignment w:val="auto"/>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keepNext w:val="0"/>
        <w:keepLines w:val="0"/>
        <w:pageBreakBefore w:val="0"/>
        <w:widowControl w:val="0"/>
        <w:kinsoku/>
        <w:wordWrap/>
        <w:overflowPunct/>
        <w:topLinePunct w:val="0"/>
        <w:autoSpaceDE/>
        <w:autoSpaceDN/>
        <w:bidi w:val="0"/>
        <w:snapToGrid w:val="0"/>
        <w:spacing w:line="420" w:lineRule="exact"/>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rPr>
        <w:t xml:space="preserve"> </w:t>
      </w:r>
    </w:p>
    <w:p>
      <w:pPr>
        <w:keepNext w:val="0"/>
        <w:keepLines w:val="0"/>
        <w:pageBreakBefore w:val="0"/>
        <w:widowControl w:val="0"/>
        <w:kinsoku/>
        <w:wordWrap/>
        <w:overflowPunct/>
        <w:topLinePunct w:val="0"/>
        <w:autoSpaceDE/>
        <w:autoSpaceDN/>
        <w:bidi w:val="0"/>
        <w:snapToGrid w:val="0"/>
        <w:spacing w:line="420" w:lineRule="exact"/>
        <w:ind w:firstLine="482" w:firstLineChars="200"/>
        <w:jc w:val="both"/>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rPr>
        <w:t>法定代表人(签字)</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被授权人(签字)</w:t>
      </w:r>
      <w:r>
        <w:rPr>
          <w:rFonts w:hint="eastAsia" w:ascii="楷体" w:hAnsi="楷体" w:eastAsia="楷体" w:cs="楷体"/>
          <w:b/>
          <w:bCs/>
          <w:sz w:val="24"/>
          <w:szCs w:val="24"/>
          <w:lang w:val="en-US" w:eastAsia="zh-CN"/>
        </w:rPr>
        <w:t>：</w:t>
      </w:r>
    </w:p>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rPr>
        <w:t>联系电话</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联系电话</w:t>
      </w:r>
      <w:r>
        <w:rPr>
          <w:rFonts w:hint="eastAsia" w:ascii="楷体" w:hAnsi="楷体" w:eastAsia="楷体" w:cs="楷体"/>
          <w:b/>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授权单位名称（盖章）</w:t>
      </w:r>
    </w:p>
    <w:p>
      <w:pPr>
        <w:keepNext w:val="0"/>
        <w:keepLines w:val="0"/>
        <w:pageBreakBefore w:val="0"/>
        <w:widowControl w:val="0"/>
        <w:kinsoku/>
        <w:wordWrap/>
        <w:overflowPunct/>
        <w:topLinePunct w:val="0"/>
        <w:autoSpaceDE/>
        <w:autoSpaceDN/>
        <w:bidi w:val="0"/>
        <w:adjustRightInd/>
        <w:snapToGrid/>
        <w:spacing w:before="313" w:beforeLines="100" w:line="42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附：法定代表人、被授权代表身份证复印件</w:t>
      </w:r>
    </w:p>
    <w:p>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sz w:val="24"/>
          <w:szCs w:val="24"/>
          <w:lang w:val="en-US" w:eastAsia="zh-CN"/>
        </w:rPr>
      </w:pP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Times New Roman"/>
          <w:sz w:val="24"/>
          <w:szCs w:val="24"/>
          <w:lang w:val="en-US" w:eastAsia="zh-CN"/>
        </w:rPr>
      </w:pPr>
      <w:r>
        <w:rPr>
          <w:rFonts w:hint="eastAsia" w:ascii="楷体" w:hAnsi="楷体" w:eastAsia="楷体" w:cs="楷体"/>
          <w:b/>
          <w:bCs w:val="0"/>
          <w:sz w:val="24"/>
          <w:szCs w:val="24"/>
          <w:lang w:val="en-US" w:eastAsia="zh-CN"/>
        </w:rPr>
        <w:t>注：如无授权人则只提供法人身份证复印件</w:t>
      </w:r>
      <w:r>
        <w:rPr>
          <w:rFonts w:hint="eastAsia" w:ascii="仿宋" w:hAnsi="仿宋" w:eastAsia="仿宋" w:cs="Times New Roman"/>
          <w:sz w:val="24"/>
          <w:szCs w:val="24"/>
          <w:lang w:val="en-US" w:eastAsia="zh-CN"/>
        </w:rPr>
        <w:br w:type="page"/>
      </w:r>
    </w:p>
    <w:p>
      <w:pPr>
        <w:spacing w:line="440" w:lineRule="exact"/>
        <w:rPr>
          <w:rFonts w:hint="default" w:ascii="仿宋" w:hAnsi="仿宋" w:eastAsia="仿宋" w:cs="仿宋"/>
          <w:color w:val="auto"/>
          <w:kern w:val="0"/>
          <w:szCs w:val="21"/>
          <w:highlight w:val="none"/>
          <w:lang w:val="en-US" w:eastAsia="zh-CN" w:bidi="ar"/>
        </w:rPr>
      </w:pPr>
      <w:r>
        <w:rPr>
          <w:rFonts w:hint="eastAsia" w:ascii="仿宋" w:hAnsi="仿宋" w:eastAsia="仿宋" w:cs="Times New Roman"/>
          <w:sz w:val="24"/>
          <w:szCs w:val="24"/>
          <w:lang w:val="en-US" w:eastAsia="zh-CN"/>
        </w:rPr>
        <w:t>附件三：</w:t>
      </w:r>
      <w:r>
        <w:rPr>
          <w:rFonts w:hint="eastAsia" w:ascii="楷体" w:hAnsi="楷体" w:eastAsia="楷体" w:cs="楷体"/>
          <w:bCs/>
          <w:sz w:val="24"/>
          <w:szCs w:val="24"/>
          <w:lang w:val="en-US" w:eastAsia="zh-CN"/>
        </w:rPr>
        <w:t>报价产品质量等级及相关质量参数需具备检测资质的第三方机构检测报告（提供一份HDPE管类型的检测报告即可）复印件</w:t>
      </w:r>
      <w:r>
        <w:rPr>
          <w:rFonts w:hint="eastAsia" w:ascii="楷体" w:hAnsi="楷体" w:eastAsia="楷体" w:cs="楷体"/>
          <w:bCs/>
          <w:sz w:val="28"/>
          <w:szCs w:val="28"/>
          <w:lang w:val="en-US" w:eastAsia="zh-CN"/>
        </w:rPr>
        <w:t>（</w:t>
      </w:r>
      <w:r>
        <w:rPr>
          <w:rFonts w:hint="eastAsia" w:ascii="楷体" w:hAnsi="楷体" w:eastAsia="楷体" w:cs="楷体"/>
          <w:b/>
          <w:bCs w:val="0"/>
          <w:sz w:val="28"/>
          <w:szCs w:val="28"/>
          <w:lang w:val="en-US" w:eastAsia="zh-CN"/>
        </w:rPr>
        <w:t>加盖公章</w:t>
      </w:r>
      <w:r>
        <w:rPr>
          <w:rFonts w:hint="eastAsia" w:ascii="楷体" w:hAnsi="楷体" w:eastAsia="楷体" w:cs="楷体"/>
          <w:bCs/>
          <w:sz w:val="28"/>
          <w:szCs w:val="28"/>
          <w:lang w:val="en-US" w:eastAsia="zh-CN"/>
        </w:rPr>
        <w:t>）</w:t>
      </w:r>
    </w:p>
    <w:p>
      <w:pP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br w:type="page"/>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附件四：报价单位认为需要提供的其他文件（格式自拟）</w:t>
      </w:r>
    </w:p>
    <w:sectPr>
      <w:pgSz w:w="11906" w:h="16838"/>
      <w:pgMar w:top="1440" w:right="1800" w:bottom="124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6181C"/>
    <w:multiLevelType w:val="singleLevel"/>
    <w:tmpl w:val="D73618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601A9E"/>
    <w:rsid w:val="02852330"/>
    <w:rsid w:val="028C773C"/>
    <w:rsid w:val="029810C9"/>
    <w:rsid w:val="029A3510"/>
    <w:rsid w:val="02AC3328"/>
    <w:rsid w:val="02B0310F"/>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4D733B"/>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894960"/>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8E7FF3"/>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885FA2"/>
    <w:rsid w:val="0CA47578"/>
    <w:rsid w:val="0CBF4BF8"/>
    <w:rsid w:val="0D095E08"/>
    <w:rsid w:val="0D170060"/>
    <w:rsid w:val="0D240477"/>
    <w:rsid w:val="0D261E54"/>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0A5691"/>
    <w:rsid w:val="0E160A26"/>
    <w:rsid w:val="0E45638B"/>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525AB"/>
    <w:rsid w:val="10D91E0A"/>
    <w:rsid w:val="10E80C92"/>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61AB1"/>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54619"/>
    <w:rsid w:val="17DE2FB7"/>
    <w:rsid w:val="17DE4D47"/>
    <w:rsid w:val="17EB1C10"/>
    <w:rsid w:val="18136FA0"/>
    <w:rsid w:val="18143491"/>
    <w:rsid w:val="181B0BD3"/>
    <w:rsid w:val="181D6EA6"/>
    <w:rsid w:val="18376D7D"/>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A6E5E"/>
    <w:rsid w:val="1A4E5D2F"/>
    <w:rsid w:val="1A75575B"/>
    <w:rsid w:val="1A7D0090"/>
    <w:rsid w:val="1AB319BE"/>
    <w:rsid w:val="1AD4393F"/>
    <w:rsid w:val="1AD77563"/>
    <w:rsid w:val="1AE509FF"/>
    <w:rsid w:val="1AE54FD5"/>
    <w:rsid w:val="1AEC06BC"/>
    <w:rsid w:val="1AF26D42"/>
    <w:rsid w:val="1B035639"/>
    <w:rsid w:val="1B2003AC"/>
    <w:rsid w:val="1B2F613A"/>
    <w:rsid w:val="1B2F6BA7"/>
    <w:rsid w:val="1B430B6D"/>
    <w:rsid w:val="1B593EE4"/>
    <w:rsid w:val="1B853D32"/>
    <w:rsid w:val="1B8835E4"/>
    <w:rsid w:val="1BC50BBF"/>
    <w:rsid w:val="1BD726EA"/>
    <w:rsid w:val="1BDE1C65"/>
    <w:rsid w:val="1BEC49DB"/>
    <w:rsid w:val="1BEE0B84"/>
    <w:rsid w:val="1BFC7520"/>
    <w:rsid w:val="1C0B2F27"/>
    <w:rsid w:val="1C4231EC"/>
    <w:rsid w:val="1C43753B"/>
    <w:rsid w:val="1C4E11FC"/>
    <w:rsid w:val="1C4F3C15"/>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6C14AB"/>
    <w:rsid w:val="1E9F5C7C"/>
    <w:rsid w:val="1E9F669B"/>
    <w:rsid w:val="1EA254C4"/>
    <w:rsid w:val="1ECF001D"/>
    <w:rsid w:val="1EDC0931"/>
    <w:rsid w:val="1EF06925"/>
    <w:rsid w:val="1EF85EBB"/>
    <w:rsid w:val="1F2A5C8F"/>
    <w:rsid w:val="1F3B624A"/>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8E3787"/>
    <w:rsid w:val="20922904"/>
    <w:rsid w:val="209C15AC"/>
    <w:rsid w:val="20A377C7"/>
    <w:rsid w:val="20A90F70"/>
    <w:rsid w:val="20CD19C8"/>
    <w:rsid w:val="20D00624"/>
    <w:rsid w:val="20F64A35"/>
    <w:rsid w:val="20FA3CE2"/>
    <w:rsid w:val="210D1A49"/>
    <w:rsid w:val="211C305E"/>
    <w:rsid w:val="213276F8"/>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C80A68"/>
    <w:rsid w:val="22E753A0"/>
    <w:rsid w:val="22F11013"/>
    <w:rsid w:val="23026758"/>
    <w:rsid w:val="230D7526"/>
    <w:rsid w:val="23156A1D"/>
    <w:rsid w:val="2316669C"/>
    <w:rsid w:val="231B3959"/>
    <w:rsid w:val="23372454"/>
    <w:rsid w:val="237770F1"/>
    <w:rsid w:val="2379093F"/>
    <w:rsid w:val="237D5522"/>
    <w:rsid w:val="237E49F2"/>
    <w:rsid w:val="237F088B"/>
    <w:rsid w:val="239D2E24"/>
    <w:rsid w:val="239E0EFF"/>
    <w:rsid w:val="23B25C43"/>
    <w:rsid w:val="23B46A31"/>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9C41E1"/>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94302D"/>
    <w:rsid w:val="26D07ABD"/>
    <w:rsid w:val="26EF2570"/>
    <w:rsid w:val="26F65840"/>
    <w:rsid w:val="26FE3B9A"/>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724F8"/>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D633C8"/>
    <w:rsid w:val="2EE161F9"/>
    <w:rsid w:val="2EEE550E"/>
    <w:rsid w:val="2EFA1321"/>
    <w:rsid w:val="2F0C123B"/>
    <w:rsid w:val="2F104EF5"/>
    <w:rsid w:val="2F241D9C"/>
    <w:rsid w:val="2F666452"/>
    <w:rsid w:val="2F800A22"/>
    <w:rsid w:val="2FAA7EAA"/>
    <w:rsid w:val="2FBC6A58"/>
    <w:rsid w:val="2FC751F2"/>
    <w:rsid w:val="2FCE02B9"/>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73FA5"/>
    <w:rsid w:val="32C42CAC"/>
    <w:rsid w:val="32E06A79"/>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F3026A"/>
    <w:rsid w:val="3C0A10A8"/>
    <w:rsid w:val="3C125364"/>
    <w:rsid w:val="3C1F0FD1"/>
    <w:rsid w:val="3C2157C8"/>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33E32"/>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5C5D26"/>
    <w:rsid w:val="446E1F07"/>
    <w:rsid w:val="448B2102"/>
    <w:rsid w:val="449900F5"/>
    <w:rsid w:val="44A4522B"/>
    <w:rsid w:val="44AB6CB7"/>
    <w:rsid w:val="44B17003"/>
    <w:rsid w:val="451F55A0"/>
    <w:rsid w:val="45210077"/>
    <w:rsid w:val="453C7D64"/>
    <w:rsid w:val="453F7628"/>
    <w:rsid w:val="45403E4D"/>
    <w:rsid w:val="454050A9"/>
    <w:rsid w:val="45407AB5"/>
    <w:rsid w:val="459704A1"/>
    <w:rsid w:val="45A50F46"/>
    <w:rsid w:val="45B11EE5"/>
    <w:rsid w:val="45B95841"/>
    <w:rsid w:val="45C20E9E"/>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813D3"/>
    <w:rsid w:val="4A2C42CD"/>
    <w:rsid w:val="4A314DD7"/>
    <w:rsid w:val="4A333BC5"/>
    <w:rsid w:val="4A3D6D7D"/>
    <w:rsid w:val="4A5374A0"/>
    <w:rsid w:val="4A581909"/>
    <w:rsid w:val="4A5E3812"/>
    <w:rsid w:val="4A67017F"/>
    <w:rsid w:val="4A81724A"/>
    <w:rsid w:val="4A9021DB"/>
    <w:rsid w:val="4A9E67FA"/>
    <w:rsid w:val="4AA32FAD"/>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525140"/>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EA239B"/>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A5DD6"/>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E738DA"/>
    <w:rsid w:val="5CF1718A"/>
    <w:rsid w:val="5D1B7965"/>
    <w:rsid w:val="5D365596"/>
    <w:rsid w:val="5D446203"/>
    <w:rsid w:val="5D476B7B"/>
    <w:rsid w:val="5D52647E"/>
    <w:rsid w:val="5D5668B3"/>
    <w:rsid w:val="5D6C32DC"/>
    <w:rsid w:val="5D7743E1"/>
    <w:rsid w:val="5D7D7BF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A4026E"/>
    <w:rsid w:val="5EB804F7"/>
    <w:rsid w:val="5EC41684"/>
    <w:rsid w:val="5EDB3C26"/>
    <w:rsid w:val="5F1C698C"/>
    <w:rsid w:val="5F2E10CF"/>
    <w:rsid w:val="5F393BBF"/>
    <w:rsid w:val="5F4E4F58"/>
    <w:rsid w:val="5F503E46"/>
    <w:rsid w:val="5F5825D3"/>
    <w:rsid w:val="5F6B6599"/>
    <w:rsid w:val="5FB07830"/>
    <w:rsid w:val="5FB15CCE"/>
    <w:rsid w:val="5FD149C5"/>
    <w:rsid w:val="5FD501C7"/>
    <w:rsid w:val="5FDE21DF"/>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4781"/>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5D1FE3"/>
    <w:rsid w:val="696714E2"/>
    <w:rsid w:val="6969738E"/>
    <w:rsid w:val="69725190"/>
    <w:rsid w:val="697A1E70"/>
    <w:rsid w:val="69840D94"/>
    <w:rsid w:val="698A6FB3"/>
    <w:rsid w:val="69966649"/>
    <w:rsid w:val="69DE4130"/>
    <w:rsid w:val="6A0016F1"/>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F967A0"/>
    <w:rsid w:val="6EFD396C"/>
    <w:rsid w:val="6F0674FF"/>
    <w:rsid w:val="6F2F0E79"/>
    <w:rsid w:val="6F3F3691"/>
    <w:rsid w:val="6F49144D"/>
    <w:rsid w:val="6F6C5AC6"/>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B67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76372"/>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7F24622"/>
    <w:rsid w:val="78342D62"/>
    <w:rsid w:val="786A2128"/>
    <w:rsid w:val="787378B8"/>
    <w:rsid w:val="787F5E0E"/>
    <w:rsid w:val="789A41C2"/>
    <w:rsid w:val="78AF300E"/>
    <w:rsid w:val="78B86A6C"/>
    <w:rsid w:val="78BD3A05"/>
    <w:rsid w:val="78C94C4C"/>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AEC137E"/>
    <w:rsid w:val="7B111CB9"/>
    <w:rsid w:val="7B2D3D68"/>
    <w:rsid w:val="7B3B0CF5"/>
    <w:rsid w:val="7B402043"/>
    <w:rsid w:val="7B587D8B"/>
    <w:rsid w:val="7B5F4AF6"/>
    <w:rsid w:val="7B6446E7"/>
    <w:rsid w:val="7B7421C6"/>
    <w:rsid w:val="7B897F9C"/>
    <w:rsid w:val="7B8B6C3F"/>
    <w:rsid w:val="7B974C50"/>
    <w:rsid w:val="7BAF4A60"/>
    <w:rsid w:val="7BBF0DE6"/>
    <w:rsid w:val="7BC94525"/>
    <w:rsid w:val="7BCA41A5"/>
    <w:rsid w:val="7BDE0036"/>
    <w:rsid w:val="7BE90B2B"/>
    <w:rsid w:val="7C0C42D3"/>
    <w:rsid w:val="7C2D09C7"/>
    <w:rsid w:val="7C420509"/>
    <w:rsid w:val="7C5F39D5"/>
    <w:rsid w:val="7C607F1C"/>
    <w:rsid w:val="7C853942"/>
    <w:rsid w:val="7CAA7097"/>
    <w:rsid w:val="7CB637D9"/>
    <w:rsid w:val="7CBA3DB9"/>
    <w:rsid w:val="7CE615AE"/>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2"/>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1"/>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unhideWhenUsed/>
    <w:qFormat/>
    <w:uiPriority w:val="0"/>
  </w:style>
  <w:style w:type="character" w:styleId="23">
    <w:name w:val="Hyperlink"/>
    <w:unhideWhenUsed/>
    <w:qFormat/>
    <w:uiPriority w:val="99"/>
    <w:rPr>
      <w:color w:val="0000FF"/>
      <w:u w:val="single"/>
    </w:rPr>
  </w:style>
  <w:style w:type="paragraph" w:customStyle="1" w:styleId="24">
    <w:name w:val="汇编标题1"/>
    <w:basedOn w:val="2"/>
    <w:next w:val="25"/>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5">
    <w:name w:val="汇编正文"/>
    <w:basedOn w:val="1"/>
    <w:next w:val="26"/>
    <w:qFormat/>
    <w:uiPriority w:val="99"/>
    <w:pPr>
      <w:snapToGrid w:val="0"/>
      <w:spacing w:line="360" w:lineRule="atLeast"/>
    </w:pPr>
    <w:rPr>
      <w:color w:val="000000"/>
      <w:lang w:val="zh-CN"/>
    </w:rPr>
  </w:style>
  <w:style w:type="paragraph" w:customStyle="1" w:styleId="26">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7">
    <w:name w:val="列出段落1"/>
    <w:basedOn w:val="1"/>
    <w:qFormat/>
    <w:uiPriority w:val="34"/>
    <w:pPr>
      <w:ind w:firstLine="420" w:firstLineChars="200"/>
    </w:p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9">
    <w:name w:val="页眉 Char"/>
    <w:link w:val="13"/>
    <w:semiHidden/>
    <w:qFormat/>
    <w:uiPriority w:val="99"/>
    <w:rPr>
      <w:sz w:val="18"/>
      <w:szCs w:val="18"/>
    </w:rPr>
  </w:style>
  <w:style w:type="character" w:customStyle="1" w:styleId="30">
    <w:name w:val="页脚 Char"/>
    <w:link w:val="12"/>
    <w:semiHidden/>
    <w:qFormat/>
    <w:uiPriority w:val="99"/>
    <w:rPr>
      <w:sz w:val="18"/>
      <w:szCs w:val="18"/>
    </w:rPr>
  </w:style>
  <w:style w:type="character" w:customStyle="1" w:styleId="31">
    <w:name w:val="批注框文本 Char"/>
    <w:link w:val="11"/>
    <w:semiHidden/>
    <w:qFormat/>
    <w:uiPriority w:val="99"/>
    <w:rPr>
      <w:sz w:val="18"/>
      <w:szCs w:val="18"/>
    </w:rPr>
  </w:style>
  <w:style w:type="character" w:customStyle="1" w:styleId="32">
    <w:name w:val="标题 3 Char"/>
    <w:link w:val="4"/>
    <w:qFormat/>
    <w:uiPriority w:val="9"/>
    <w:rPr>
      <w:rFonts w:ascii="仿宋" w:hAnsi="仿宋" w:eastAsia="仿宋_GB2312" w:cs="Times New Roman"/>
      <w:bCs/>
      <w:sz w:val="28"/>
      <w:szCs w:val="32"/>
    </w:rPr>
  </w:style>
  <w:style w:type="character" w:customStyle="1" w:styleId="33">
    <w:name w:val="标题 2 Char"/>
    <w:link w:val="3"/>
    <w:qFormat/>
    <w:uiPriority w:val="9"/>
    <w:rPr>
      <w:rFonts w:ascii="Cambria" w:hAnsi="Cambria" w:eastAsia="仿宋_GB2312"/>
      <w:b/>
      <w:bCs/>
      <w:sz w:val="30"/>
      <w:szCs w:val="32"/>
    </w:rPr>
  </w:style>
  <w:style w:type="character" w:customStyle="1" w:styleId="34">
    <w:name w:val="标题 1 Char"/>
    <w:link w:val="2"/>
    <w:qFormat/>
    <w:uiPriority w:val="9"/>
    <w:rPr>
      <w:rFonts w:eastAsia="仿宋_GB2312"/>
      <w:b/>
      <w:bCs/>
      <w:kern w:val="44"/>
      <w:sz w:val="24"/>
      <w:szCs w:val="44"/>
    </w:rPr>
  </w:style>
  <w:style w:type="paragraph" w:customStyle="1" w:styleId="35">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styleId="36">
    <w:name w:val="List Paragraph"/>
    <w:basedOn w:val="1"/>
    <w:unhideWhenUsed/>
    <w:qFormat/>
    <w:uiPriority w:val="99"/>
    <w:pPr>
      <w:ind w:left="142" w:leftChars="0" w:right="118" w:rightChars="56"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8831</Words>
  <Characters>9513</Characters>
  <Lines>50</Lines>
  <Paragraphs>14</Paragraphs>
  <TotalTime>0</TotalTime>
  <ScaleCrop>false</ScaleCrop>
  <LinksUpToDate>false</LinksUpToDate>
  <CharactersWithSpaces>10369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2024-05-24T00:02:00Z</cp:lastPrinted>
  <dcterms:modified xsi:type="dcterms:W3CDTF">2024-05-24T02:06:00Z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9FD8777846E249DABA8B0D825EEE598B_13</vt:lpwstr>
  </property>
</Properties>
</file>