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atLeast"/>
        <w:jc w:val="right"/>
        <w:rPr>
          <w:rFonts w:hint="eastAsia" w:ascii="楷体_GB2312" w:hAnsi="楷体_GB2312" w:eastAsia="楷体_GB2312" w:cs="楷体_GB2312"/>
          <w:b/>
          <w:sz w:val="52"/>
          <w:szCs w:val="52"/>
          <w:lang w:val="en-US" w:eastAsia="zh-CN"/>
        </w:rPr>
      </w:pPr>
      <w:bookmarkStart w:id="0" w:name="_Toc343700737"/>
      <w:bookmarkStart w:id="1" w:name="_Toc343692939"/>
      <w:r>
        <w:rPr>
          <w:rFonts w:hint="eastAsia" w:ascii="楷体_GB2312" w:hAnsi="楷体_GB2312" w:eastAsia="楷体_GB2312" w:cs="楷体_GB2312"/>
          <w:b/>
          <w:sz w:val="52"/>
          <w:szCs w:val="52"/>
        </w:rPr>
        <w:t xml:space="preserve">   </w:t>
      </w:r>
      <w:r>
        <w:rPr>
          <w:rFonts w:hint="eastAsia" w:ascii="楷体_GB2312" w:hAnsi="楷体_GB2312" w:eastAsia="楷体_GB2312" w:cs="楷体_GB2312"/>
          <w:b/>
          <w:sz w:val="52"/>
          <w:szCs w:val="52"/>
          <w:lang w:val="en-US" w:eastAsia="zh-CN"/>
        </w:rPr>
        <w:t xml:space="preserve"> </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海南洋浦陆海国际贸易有限公司</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钢筋采购                               </w:t>
      </w: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p>
    <w:p>
      <w:pPr>
        <w:spacing w:line="380" w:lineRule="atLeast"/>
        <w:ind w:left="-199" w:leftChars="-95"/>
        <w:jc w:val="center"/>
        <w:rPr>
          <w:rFonts w:hint="eastAsia" w:ascii="楷体_GB2312" w:hAnsi="楷体_GB2312" w:eastAsia="楷体_GB2312" w:cs="楷体_GB2312"/>
          <w:b/>
          <w:sz w:val="52"/>
          <w:szCs w:val="52"/>
          <w:highlight w:val="yellow"/>
          <w:lang w:val="en-US" w:eastAsia="zh-CN"/>
        </w:rPr>
      </w:pP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公</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开</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询</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价</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文</w:t>
      </w:r>
    </w:p>
    <w:p>
      <w:pPr>
        <w:spacing w:line="380" w:lineRule="atLeast"/>
        <w:ind w:left="-199" w:leftChars="-95"/>
        <w:jc w:val="center"/>
        <w:rPr>
          <w:rFonts w:hint="eastAsia" w:ascii="楷体_GB2312" w:hAnsi="楷体_GB2312" w:eastAsia="楷体_GB2312" w:cs="楷体_GB2312"/>
          <w:b/>
          <w:sz w:val="52"/>
          <w:szCs w:val="52"/>
          <w:lang w:val="en-US" w:eastAsia="zh-CN"/>
        </w:rPr>
      </w:pPr>
      <w:r>
        <w:rPr>
          <w:rFonts w:hint="eastAsia" w:ascii="楷体_GB2312" w:hAnsi="楷体_GB2312" w:eastAsia="楷体_GB2312" w:cs="楷体_GB2312"/>
          <w:b/>
          <w:sz w:val="52"/>
          <w:szCs w:val="52"/>
          <w:lang w:val="en-US" w:eastAsia="zh-CN"/>
        </w:rPr>
        <w:t xml:space="preserve">件                  </w:t>
      </w:r>
    </w:p>
    <w:p>
      <w:pPr>
        <w:pStyle w:val="5"/>
      </w:pPr>
    </w:p>
    <w:p/>
    <w:p>
      <w:pPr>
        <w:pStyle w:val="5"/>
      </w:pPr>
    </w:p>
    <w:p>
      <w:pPr>
        <w:pStyle w:val="27"/>
        <w:numPr>
          <w:ilvl w:val="0"/>
          <w:numId w:val="1"/>
        </w:numPr>
        <w:spacing w:line="360" w:lineRule="exact"/>
        <w:ind w:firstLineChars="0"/>
        <w:jc w:val="center"/>
        <w:rPr>
          <w:rFonts w:hint="eastAsia" w:ascii="楷体" w:hAnsi="楷体" w:eastAsia="楷体" w:cs="楷体"/>
          <w:sz w:val="24"/>
          <w:szCs w:val="24"/>
        </w:rPr>
      </w:pPr>
      <w:r>
        <w:rPr>
          <w:rFonts w:hint="eastAsia" w:ascii="楷体" w:hAnsi="楷体" w:eastAsia="楷体" w:cs="楷体"/>
          <w:b/>
          <w:bCs/>
          <w:sz w:val="24"/>
          <w:szCs w:val="24"/>
          <w:lang w:val="en-US" w:eastAsia="zh-CN"/>
        </w:rPr>
        <w:t>公开询价报价函</w:t>
      </w:r>
    </w:p>
    <w:p>
      <w:pPr>
        <w:adjustRightInd w:val="0"/>
        <w:snapToGrid w:val="0"/>
        <w:spacing w:line="360" w:lineRule="exact"/>
        <w:jc w:val="right"/>
        <w:rPr>
          <w:rFonts w:hint="default" w:ascii="楷体_GB2312" w:hAnsi="楷体_GB2312" w:eastAsia="楷体_GB2312" w:cs="楷体_GB2312"/>
          <w:sz w:val="24"/>
          <w:szCs w:val="24"/>
          <w:lang w:val="en-US"/>
        </w:rPr>
      </w:pPr>
      <w:r>
        <w:rPr>
          <w:rFonts w:hint="eastAsia" w:ascii="楷体_GB2312" w:hAnsi="楷体_GB2312" w:eastAsia="楷体_GB2312" w:cs="楷体_GB2312"/>
          <w:sz w:val="24"/>
          <w:szCs w:val="24"/>
        </w:rPr>
        <w:t xml:space="preserve">      </w:t>
      </w:r>
      <w:r>
        <w:rPr>
          <w:rFonts w:hint="eastAsia" w:ascii="楷体_GB2312" w:hAnsi="楷体_GB2312" w:eastAsia="楷体_GB2312" w:cs="楷体_GB2312"/>
          <w:sz w:val="24"/>
          <w:szCs w:val="24"/>
          <w:lang w:val="en-US" w:eastAsia="zh-CN"/>
        </w:rPr>
        <w:t xml:space="preserve">            </w:t>
      </w:r>
    </w:p>
    <w:tbl>
      <w:tblPr>
        <w:tblStyle w:val="19"/>
        <w:tblW w:w="8613"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3"/>
        <w:gridCol w:w="2517"/>
        <w:gridCol w:w="52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13" w:type="dxa"/>
            <w:gridSpan w:val="3"/>
            <w:tcBorders>
              <w:top w:val="single" w:color="auto" w:sz="8" w:space="0"/>
            </w:tcBorders>
            <w:vAlign w:val="center"/>
          </w:tcPr>
          <w:p>
            <w:pPr>
              <w:spacing w:line="360" w:lineRule="atLeast"/>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钢筋</w:t>
            </w:r>
            <w:r>
              <w:rPr>
                <w:rFonts w:hint="eastAsia" w:ascii="楷体" w:hAnsi="楷体" w:eastAsia="楷体" w:cs="楷体"/>
                <w:sz w:val="24"/>
                <w:szCs w:val="24"/>
              </w:rPr>
              <w:t>采购根据需要，拟按照</w:t>
            </w:r>
            <w:r>
              <w:rPr>
                <w:rFonts w:hint="eastAsia" w:ascii="楷体" w:hAnsi="楷体" w:eastAsia="楷体" w:cs="楷体"/>
                <w:sz w:val="24"/>
                <w:szCs w:val="24"/>
                <w:u w:val="single"/>
                <w:lang w:val="en-US" w:eastAsia="zh-CN"/>
              </w:rPr>
              <w:t>公开询价</w:t>
            </w:r>
            <w:r>
              <w:rPr>
                <w:rFonts w:hint="eastAsia" w:ascii="楷体" w:hAnsi="楷体" w:eastAsia="楷体" w:cs="楷体"/>
                <w:sz w:val="24"/>
                <w:szCs w:val="24"/>
              </w:rPr>
              <w:t xml:space="preserve">方式进行采购，具体采购事项如下：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序号</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项目</w:t>
            </w:r>
          </w:p>
        </w:tc>
        <w:tc>
          <w:tcPr>
            <w:tcW w:w="523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内容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1</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单位</w:t>
            </w:r>
          </w:p>
        </w:tc>
        <w:tc>
          <w:tcPr>
            <w:tcW w:w="5233"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海南洋浦陆海国际贸易有限公司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2</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eastAsia="zh-CN"/>
              </w:rPr>
              <w:t>公开询价</w:t>
            </w:r>
            <w:r>
              <w:rPr>
                <w:rFonts w:hint="eastAsia" w:ascii="楷体" w:hAnsi="楷体" w:eastAsia="楷体" w:cs="楷体"/>
                <w:sz w:val="24"/>
                <w:szCs w:val="24"/>
              </w:rPr>
              <w:t>内容</w:t>
            </w:r>
          </w:p>
        </w:tc>
        <w:tc>
          <w:tcPr>
            <w:tcW w:w="5233" w:type="dxa"/>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填写内容：</w:t>
            </w:r>
          </w:p>
          <w:p>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1.采购</w:t>
            </w:r>
            <w:r>
              <w:rPr>
                <w:rFonts w:hint="eastAsia" w:ascii="楷体" w:hAnsi="楷体" w:eastAsia="楷体" w:cs="楷体"/>
                <w:sz w:val="24"/>
                <w:szCs w:val="24"/>
                <w:lang w:val="en-US" w:eastAsia="zh-CN"/>
              </w:rPr>
              <w:t>货</w:t>
            </w:r>
            <w:r>
              <w:rPr>
                <w:rFonts w:hint="eastAsia" w:ascii="楷体" w:hAnsi="楷体" w:eastAsia="楷体" w:cs="楷体"/>
                <w:sz w:val="24"/>
                <w:szCs w:val="24"/>
              </w:rPr>
              <w:t>物名称/数量（详见报价书）；</w:t>
            </w:r>
          </w:p>
          <w:p>
            <w:pPr>
              <w:spacing w:line="360" w:lineRule="atLeast"/>
              <w:ind w:left="720" w:hanging="720" w:hangingChars="300"/>
              <w:jc w:val="center"/>
              <w:rPr>
                <w:rFonts w:hint="eastAsia" w:ascii="楷体" w:hAnsi="楷体" w:eastAsia="楷体" w:cs="楷体"/>
                <w:sz w:val="24"/>
                <w:szCs w:val="24"/>
              </w:rPr>
            </w:pPr>
            <w:r>
              <w:rPr>
                <w:rFonts w:hint="eastAsia" w:ascii="楷体" w:hAnsi="楷体" w:eastAsia="楷体" w:cs="楷体"/>
                <w:sz w:val="24"/>
                <w:szCs w:val="24"/>
              </w:rPr>
              <w:t>2.质量标准及技术要求等（详见</w:t>
            </w:r>
            <w:r>
              <w:rPr>
                <w:rFonts w:hint="eastAsia" w:ascii="楷体" w:hAnsi="楷体" w:eastAsia="楷体" w:cs="楷体"/>
                <w:sz w:val="24"/>
                <w:szCs w:val="24"/>
                <w:lang w:eastAsia="zh-CN"/>
              </w:rPr>
              <w:t>公开询价</w:t>
            </w:r>
            <w:r>
              <w:rPr>
                <w:rFonts w:hint="eastAsia" w:ascii="楷体" w:hAnsi="楷体" w:eastAsia="楷体" w:cs="楷体"/>
                <w:sz w:val="24"/>
                <w:szCs w:val="24"/>
              </w:rPr>
              <w:t>说明）；</w:t>
            </w:r>
          </w:p>
          <w:p>
            <w:pPr>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w:t>
            </w:r>
            <w:r>
              <w:rPr>
                <w:rFonts w:hint="eastAsia" w:ascii="楷体" w:hAnsi="楷体" w:eastAsia="楷体" w:cs="楷体"/>
                <w:sz w:val="24"/>
                <w:szCs w:val="24"/>
              </w:rPr>
              <w:t>.</w:t>
            </w:r>
            <w:r>
              <w:rPr>
                <w:rFonts w:hint="eastAsia" w:ascii="楷体" w:hAnsi="楷体" w:eastAsia="楷体" w:cs="楷体"/>
                <w:sz w:val="24"/>
                <w:szCs w:val="24"/>
                <w:lang w:eastAsia="zh-CN"/>
              </w:rPr>
              <w:t>公开询价报价</w:t>
            </w:r>
            <w:r>
              <w:rPr>
                <w:rFonts w:hint="eastAsia" w:ascii="楷体" w:hAnsi="楷体" w:eastAsia="楷体" w:cs="楷体"/>
                <w:sz w:val="24"/>
                <w:szCs w:val="24"/>
              </w:rPr>
              <w:t>文件获取方式：在网页附件处下载电子版文件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3</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开始</w:t>
            </w:r>
            <w:r>
              <w:rPr>
                <w:rFonts w:hint="eastAsia" w:ascii="楷体" w:hAnsi="楷体" w:eastAsia="楷体" w:cs="楷体"/>
                <w:sz w:val="24"/>
                <w:szCs w:val="24"/>
              </w:rPr>
              <w:t>时间</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2024年5月29日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57"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4</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lang w:val="en-US" w:eastAsia="zh-CN"/>
              </w:rPr>
              <w:t>报价书</w:t>
            </w:r>
            <w:r>
              <w:rPr>
                <w:rFonts w:hint="eastAsia" w:ascii="楷体" w:hAnsi="楷体" w:eastAsia="楷体" w:cs="楷体"/>
                <w:sz w:val="24"/>
                <w:szCs w:val="24"/>
              </w:rPr>
              <w:t>递交时间地点</w:t>
            </w:r>
          </w:p>
        </w:tc>
        <w:tc>
          <w:tcPr>
            <w:tcW w:w="5233" w:type="dxa"/>
            <w:vAlign w:val="center"/>
          </w:tcPr>
          <w:p>
            <w:pPr>
              <w:spacing w:line="360" w:lineRule="atLeast"/>
              <w:jc w:val="center"/>
              <w:rPr>
                <w:rFonts w:hint="default" w:ascii="楷体" w:hAnsi="楷体" w:eastAsia="楷体" w:cs="楷体"/>
                <w:sz w:val="24"/>
                <w:szCs w:val="24"/>
                <w:highlight w:val="none"/>
                <w:lang w:val="en-US"/>
              </w:rPr>
            </w:pPr>
            <w:r>
              <w:rPr>
                <w:rFonts w:hint="eastAsia" w:ascii="楷体" w:hAnsi="楷体" w:eastAsia="楷体" w:cs="楷体"/>
                <w:sz w:val="24"/>
                <w:szCs w:val="24"/>
                <w:highlight w:val="none"/>
                <w:lang w:val="en-US" w:eastAsia="zh-CN"/>
              </w:rPr>
              <w:t>截至2024年5月31日上午11：00电子版发送至指定电子邮箱luhaimygs@hnyplh.com。</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5</w:t>
            </w:r>
          </w:p>
        </w:tc>
        <w:tc>
          <w:tcPr>
            <w:tcW w:w="2517" w:type="dxa"/>
            <w:vAlign w:val="center"/>
          </w:tcPr>
          <w:p>
            <w:pPr>
              <w:spacing w:line="360" w:lineRule="atLeast"/>
              <w:jc w:val="center"/>
              <w:rPr>
                <w:rFonts w:hint="eastAsia" w:ascii="楷体" w:hAnsi="楷体" w:eastAsia="楷体" w:cs="楷体"/>
                <w:sz w:val="24"/>
                <w:szCs w:val="24"/>
              </w:rPr>
            </w:pPr>
            <w:r>
              <w:rPr>
                <w:rFonts w:hint="eastAsia" w:ascii="楷体" w:hAnsi="楷体" w:eastAsia="楷体" w:cs="楷体"/>
                <w:sz w:val="24"/>
                <w:szCs w:val="24"/>
              </w:rPr>
              <w:t>联系人及电话</w:t>
            </w:r>
          </w:p>
        </w:tc>
        <w:tc>
          <w:tcPr>
            <w:tcW w:w="5233" w:type="dxa"/>
            <w:vAlign w:val="center"/>
          </w:tcPr>
          <w:p>
            <w:pPr>
              <w:spacing w:line="360" w:lineRule="atLeast"/>
              <w:jc w:val="center"/>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肖芷琪/15797868256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2" w:hRule="exact"/>
        </w:trPr>
        <w:tc>
          <w:tcPr>
            <w:tcW w:w="863"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6</w:t>
            </w:r>
          </w:p>
        </w:tc>
        <w:tc>
          <w:tcPr>
            <w:tcW w:w="2517" w:type="dxa"/>
            <w:vAlign w:val="center"/>
          </w:tcPr>
          <w:p>
            <w:pPr>
              <w:spacing w:line="360" w:lineRule="atLeast"/>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评分方法</w:t>
            </w:r>
          </w:p>
        </w:tc>
        <w:tc>
          <w:tcPr>
            <w:tcW w:w="5233" w:type="dxa"/>
            <w:vAlign w:val="center"/>
          </w:tcPr>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低价评审法</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（1）符合性评审：</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符合第四章报价书（格式）要求。</w:t>
            </w:r>
          </w:p>
          <w:p>
            <w:pPr>
              <w:spacing w:line="360" w:lineRule="atLeast"/>
              <w:jc w:val="left"/>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（2）价格评审：通过符合性审查的报价单位，进入价格评审。按照报价单位的报价由低到高确定候选人。</w:t>
            </w:r>
          </w:p>
          <w:p>
            <w:pPr>
              <w:spacing w:line="360" w:lineRule="atLeast"/>
              <w:jc w:val="center"/>
              <w:rPr>
                <w:rFonts w:hint="default" w:ascii="楷体" w:hAnsi="楷体" w:eastAsia="楷体" w:cs="楷体"/>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863" w:type="dxa"/>
            <w:vAlign w:val="center"/>
          </w:tcPr>
          <w:p>
            <w:pPr>
              <w:spacing w:line="360" w:lineRule="atLeast"/>
              <w:jc w:val="center"/>
              <w:rPr>
                <w:rFonts w:hint="default"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7</w:t>
            </w:r>
          </w:p>
        </w:tc>
        <w:tc>
          <w:tcPr>
            <w:tcW w:w="2517" w:type="dxa"/>
            <w:vAlign w:val="center"/>
          </w:tcPr>
          <w:p>
            <w:pPr>
              <w:spacing w:line="360" w:lineRule="atLeast"/>
              <w:jc w:val="center"/>
              <w:rPr>
                <w:rFonts w:hint="eastAsia" w:ascii="楷体_GB2312" w:hAnsi="楷体_GB2312" w:eastAsia="楷体_GB2312" w:cs="楷体_GB2312"/>
                <w:sz w:val="24"/>
                <w:szCs w:val="24"/>
                <w:lang w:val="en-US" w:eastAsia="zh-CN"/>
              </w:rPr>
            </w:pPr>
            <w:r>
              <w:rPr>
                <w:rFonts w:hint="eastAsia" w:ascii="楷体" w:hAnsi="楷体" w:eastAsia="楷体" w:cs="楷体"/>
                <w:sz w:val="24"/>
                <w:szCs w:val="24"/>
                <w:highlight w:val="none"/>
                <w:lang w:val="en-US" w:eastAsia="zh-CN"/>
              </w:rPr>
              <w:t>廉政监督电话</w:t>
            </w:r>
          </w:p>
        </w:tc>
        <w:tc>
          <w:tcPr>
            <w:tcW w:w="5233" w:type="dxa"/>
            <w:vAlign w:val="center"/>
          </w:tcPr>
          <w:p>
            <w:pPr>
              <w:spacing w:line="360" w:lineRule="atLeast"/>
              <w:jc w:val="center"/>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0898-28810186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338"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8</w:t>
            </w:r>
          </w:p>
        </w:tc>
        <w:tc>
          <w:tcPr>
            <w:tcW w:w="2517"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履约保证金</w:t>
            </w:r>
          </w:p>
        </w:tc>
        <w:tc>
          <w:tcPr>
            <w:tcW w:w="5233" w:type="dxa"/>
            <w:vAlign w:val="center"/>
          </w:tcPr>
          <w:p>
            <w:pPr>
              <w:spacing w:line="360" w:lineRule="atLeast"/>
              <w:jc w:val="left"/>
              <w:rPr>
                <w:rFonts w:hint="default" w:ascii="楷体" w:hAnsi="楷体" w:eastAsia="楷体" w:cs="楷体"/>
                <w:sz w:val="24"/>
                <w:szCs w:val="24"/>
                <w:highlight w:val="none"/>
                <w:lang w:val="en-US" w:eastAsia="zh-CN"/>
              </w:rPr>
            </w:pPr>
            <w:r>
              <w:rPr>
                <w:rFonts w:hint="default" w:ascii="楷体" w:hAnsi="楷体" w:eastAsia="楷体" w:cs="楷体"/>
                <w:sz w:val="24"/>
                <w:szCs w:val="24"/>
                <w:highlight w:val="none"/>
                <w:lang w:val="en-US" w:eastAsia="zh-CN"/>
              </w:rPr>
              <w:t>中标金额的2%。履约保证金的提交时间：中标通知书发出之后7个日历天内；履约保证金的形式：银行转账或银行保函（全国性股份制银行和海南地方性银行（只限海南农村信用社、海南农商银行、海南银行三家）），保函性质为见索即付，争议解决地在海南洋浦陆海国际贸易有限公司所在地，保函期间要覆盖至项目供应完毕且验收完毕）形式。履约保证金在供应商供货完毕且办理完总结算签字确认后30个工作日内，扣除违约金无息返还；如有其他情况，双方协商确定返还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96"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9</w:t>
            </w:r>
          </w:p>
        </w:tc>
        <w:tc>
          <w:tcPr>
            <w:tcW w:w="2517"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送货地址</w:t>
            </w:r>
          </w:p>
        </w:tc>
        <w:tc>
          <w:tcPr>
            <w:tcW w:w="5233" w:type="dxa"/>
            <w:vAlign w:val="center"/>
          </w:tcPr>
          <w:p>
            <w:pPr>
              <w:spacing w:line="360" w:lineRule="atLeast"/>
              <w:jc w:val="left"/>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本项目共有3个送货地址：</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其中白马一号308吨项目地点：海南省儋州市中二横路与西二直路交叉口东100米； </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 xml:space="preserve">美伦国际1200吨项目地点：海南省澄迈县美造路与南二环路交叉口正东方向124米； </w:t>
            </w:r>
          </w:p>
          <w:p>
            <w:pPr>
              <w:spacing w:line="360" w:lineRule="atLeast"/>
              <w:jc w:val="left"/>
              <w:rPr>
                <w:rFonts w:hint="eastAsia"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海南全景装配式建筑科技有限公司690吨项目地点：海南省临高县金牌港开发区美览村。</w:t>
            </w:r>
          </w:p>
          <w:p>
            <w:pPr>
              <w:spacing w:line="360" w:lineRule="atLeast"/>
              <w:jc w:val="center"/>
              <w:rPr>
                <w:rFonts w:hint="default" w:ascii="楷体" w:hAnsi="楷体" w:eastAsia="楷体" w:cs="楷体"/>
                <w:sz w:val="24"/>
                <w:szCs w:val="24"/>
                <w:highlight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70" w:hRule="exact"/>
        </w:trPr>
        <w:tc>
          <w:tcPr>
            <w:tcW w:w="863" w:type="dxa"/>
            <w:vAlign w:val="center"/>
          </w:tcPr>
          <w:p>
            <w:pPr>
              <w:spacing w:line="360" w:lineRule="atLeast"/>
              <w:jc w:val="center"/>
              <w:rPr>
                <w:rFonts w:hint="default" w:ascii="楷体" w:hAnsi="楷体" w:eastAsia="楷体" w:cs="楷体"/>
                <w:sz w:val="24"/>
                <w:szCs w:val="24"/>
                <w:highlight w:val="none"/>
                <w:lang w:val="en-US" w:eastAsia="zh-CN"/>
              </w:rPr>
            </w:pPr>
            <w:r>
              <w:rPr>
                <w:rFonts w:hint="eastAsia" w:ascii="楷体" w:hAnsi="楷体" w:eastAsia="楷体" w:cs="楷体"/>
                <w:sz w:val="24"/>
                <w:szCs w:val="24"/>
                <w:highlight w:val="none"/>
                <w:lang w:val="en-US" w:eastAsia="zh-CN"/>
              </w:rPr>
              <w:t>10</w:t>
            </w:r>
          </w:p>
        </w:tc>
        <w:tc>
          <w:tcPr>
            <w:tcW w:w="2517" w:type="dxa"/>
            <w:vAlign w:val="center"/>
          </w:tcPr>
          <w:p>
            <w:pPr>
              <w:spacing w:line="360" w:lineRule="atLeast"/>
              <w:jc w:val="center"/>
              <w:rPr>
                <w:rFonts w:hint="eastAsia" w:ascii="楷体" w:hAnsi="楷体" w:eastAsia="楷体" w:cs="楷体"/>
                <w:kern w:val="2"/>
                <w:sz w:val="24"/>
                <w:szCs w:val="24"/>
                <w:highlight w:val="none"/>
                <w:lang w:val="en-US" w:eastAsia="zh-CN" w:bidi="ar-SA"/>
              </w:rPr>
            </w:pPr>
            <w:r>
              <w:rPr>
                <w:rFonts w:hint="eastAsia" w:ascii="楷体" w:hAnsi="楷体" w:eastAsia="楷体" w:cs="楷体"/>
                <w:sz w:val="24"/>
                <w:szCs w:val="24"/>
                <w:highlight w:val="none"/>
                <w:lang w:val="en-US" w:eastAsia="zh-CN"/>
              </w:rPr>
              <w:t>其他要求</w:t>
            </w:r>
          </w:p>
        </w:tc>
        <w:tc>
          <w:tcPr>
            <w:tcW w:w="5233" w:type="dxa"/>
            <w:vAlign w:val="center"/>
          </w:tcPr>
          <w:p>
            <w:pPr>
              <w:spacing w:line="360" w:lineRule="atLeast"/>
              <w:jc w:val="center"/>
              <w:rPr>
                <w:rFonts w:hint="default" w:ascii="楷体" w:hAnsi="楷体" w:eastAsia="楷体" w:cs="楷体"/>
                <w:kern w:val="2"/>
                <w:sz w:val="24"/>
                <w:szCs w:val="24"/>
                <w:highlight w:val="none"/>
                <w:lang w:val="en-US" w:eastAsia="zh-CN" w:bidi="ar-SA"/>
              </w:rPr>
            </w:pPr>
            <w:r>
              <w:rPr>
                <w:rFonts w:hint="eastAsia" w:ascii="楷体" w:hAnsi="楷体" w:eastAsia="楷体" w:cs="楷体"/>
                <w:sz w:val="24"/>
                <w:szCs w:val="24"/>
                <w:highlight w:val="none"/>
                <w:shd w:val="clear"/>
                <w:lang w:val="en-US" w:eastAsia="zh-CN"/>
              </w:rPr>
              <w:t>采购人有权对成交候选人进行现场考察，并有权对成交候选人进行综合评判是否具备供货和质量保障能力。若不满足，则取消成交候选人资格。</w:t>
            </w:r>
          </w:p>
        </w:tc>
      </w:tr>
    </w:tbl>
    <w:p>
      <w:pPr>
        <w:rPr>
          <w:rFonts w:hint="eastAsia" w:ascii="楷体_GB2312" w:hAnsi="楷体_GB2312" w:eastAsia="楷体_GB2312" w:cs="楷体_GB2312"/>
          <w:szCs w:val="24"/>
        </w:rPr>
      </w:pPr>
      <w:r>
        <w:rPr>
          <w:rFonts w:hint="eastAsia" w:ascii="楷体_GB2312" w:hAnsi="楷体_GB2312" w:eastAsia="楷体_GB2312" w:cs="楷体_GB2312"/>
          <w:szCs w:val="24"/>
        </w:rPr>
        <w:br w:type="page"/>
      </w:r>
    </w:p>
    <w:p>
      <w:pPr>
        <w:pStyle w:val="3"/>
        <w:spacing w:before="0" w:line="240" w:lineRule="auto"/>
        <w:jc w:val="center"/>
        <w:rPr>
          <w:rFonts w:hint="eastAsia" w:ascii="楷体" w:hAnsi="楷体" w:eastAsia="楷体" w:cs="楷体"/>
          <w:lang w:val="en-US" w:eastAsia="zh-CN"/>
        </w:rPr>
      </w:pPr>
      <w:r>
        <w:rPr>
          <w:rFonts w:hint="eastAsia" w:ascii="楷体" w:hAnsi="楷体" w:eastAsia="楷体" w:cs="楷体"/>
          <w:szCs w:val="24"/>
        </w:rPr>
        <w:t>第二章</w:t>
      </w:r>
      <w:r>
        <w:rPr>
          <w:rFonts w:hint="eastAsia" w:ascii="楷体" w:hAnsi="楷体" w:eastAsia="楷体" w:cs="楷体"/>
          <w:szCs w:val="24"/>
          <w:lang w:val="en-US" w:eastAsia="zh-CN"/>
        </w:rPr>
        <w:t xml:space="preserve"> </w:t>
      </w:r>
      <w:bookmarkEnd w:id="0"/>
      <w:bookmarkEnd w:id="1"/>
      <w:r>
        <w:rPr>
          <w:rFonts w:hint="eastAsia" w:ascii="楷体" w:hAnsi="楷体" w:eastAsia="楷体" w:cs="楷体"/>
          <w:szCs w:val="24"/>
          <w:lang w:val="en-US" w:eastAsia="zh-CN"/>
        </w:rPr>
        <w:t>供应商须知</w:t>
      </w:r>
    </w:p>
    <w:p>
      <w:pPr>
        <w:pStyle w:val="4"/>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2" w:name="_Toc343692940"/>
      <w:bookmarkStart w:id="3" w:name="_Toc343700738"/>
      <w:r>
        <w:rPr>
          <w:rFonts w:hint="eastAsia" w:ascii="楷体" w:hAnsi="楷体" w:eastAsia="楷体" w:cs="楷体"/>
          <w:sz w:val="24"/>
          <w:szCs w:val="24"/>
        </w:rPr>
        <w:t>一、总则</w:t>
      </w:r>
      <w:bookmarkEnd w:id="2"/>
      <w:bookmarkEnd w:id="3"/>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(一)原则</w:t>
      </w:r>
    </w:p>
    <w:p>
      <w:pPr>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坚持公开、公正、公平和诚实信用的原则。坚持质量优先，价格合理，科学评估，规范运作</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eastAsia="zh-CN"/>
        </w:rPr>
      </w:pPr>
      <w:r>
        <w:rPr>
          <w:rFonts w:hint="eastAsia" w:ascii="楷体" w:hAnsi="楷体" w:eastAsia="楷体" w:cs="楷体"/>
          <w:bCs/>
          <w:sz w:val="24"/>
          <w:szCs w:val="24"/>
        </w:rPr>
        <w:t xml:space="preserve">(二) </w:t>
      </w:r>
      <w:r>
        <w:rPr>
          <w:rFonts w:hint="eastAsia" w:ascii="楷体" w:hAnsi="楷体" w:eastAsia="楷体" w:cs="楷体"/>
          <w:bCs/>
          <w:sz w:val="24"/>
          <w:szCs w:val="24"/>
          <w:lang w:val="en-US" w:eastAsia="zh-CN"/>
        </w:rPr>
        <w:t>供应商参与报价条件</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1、具备法律主体资格。</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2、具备国家有关部门、行业或公司要求必须取得的质量、计量、安全、环保认证及其他经营许可；在有关部门和行业的监督检查中没有不良记录；与公司没有不良合作记录。</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sz w:val="24"/>
          <w:szCs w:val="24"/>
          <w:lang w:val="en-US" w:eastAsia="zh-CN"/>
        </w:rPr>
      </w:pPr>
      <w:r>
        <w:rPr>
          <w:rFonts w:hint="eastAsia" w:ascii="楷体" w:hAnsi="楷体" w:eastAsia="楷体" w:cs="楷体"/>
          <w:bCs/>
          <w:sz w:val="24"/>
          <w:szCs w:val="24"/>
        </w:rPr>
        <w:t>3、具有一定的经营规模和服务能力</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有同产品的供应业绩，供应量不低于本次询价数量。</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rPr>
        <w:t>4、具有良好的商业信誉</w:t>
      </w:r>
      <w:r>
        <w:rPr>
          <w:rFonts w:hint="eastAsia" w:ascii="楷体" w:hAnsi="楷体" w:eastAsia="楷体" w:cs="楷体"/>
          <w:bCs/>
          <w:sz w:val="24"/>
          <w:szCs w:val="24"/>
          <w:lang w:eastAsia="zh-CN"/>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(三)合格的</w:t>
      </w:r>
      <w:r>
        <w:rPr>
          <w:rFonts w:hint="eastAsia" w:ascii="楷体" w:hAnsi="楷体" w:eastAsia="楷体" w:cs="楷体"/>
          <w:bCs/>
          <w:sz w:val="24"/>
          <w:szCs w:val="24"/>
          <w:u w:val="single"/>
          <w:lang w:val="en-US" w:eastAsia="zh-CN"/>
        </w:rPr>
        <w:t>钢筋</w:t>
      </w:r>
      <w:r>
        <w:rPr>
          <w:rFonts w:hint="eastAsia" w:ascii="楷体" w:hAnsi="楷体" w:eastAsia="楷体" w:cs="楷体"/>
          <w:bCs/>
          <w:sz w:val="24"/>
          <w:szCs w:val="24"/>
        </w:rPr>
        <w:t>采购范围和交易方式</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结束后，向</w:t>
      </w:r>
      <w:r>
        <w:rPr>
          <w:rFonts w:hint="eastAsia" w:ascii="楷体" w:hAnsi="楷体" w:eastAsia="楷体" w:cs="楷体"/>
          <w:bCs/>
          <w:sz w:val="24"/>
          <w:szCs w:val="24"/>
          <w:lang w:eastAsia="zh-CN"/>
        </w:rPr>
        <w:t>成交</w:t>
      </w:r>
      <w:r>
        <w:rPr>
          <w:rFonts w:hint="eastAsia" w:ascii="楷体" w:hAnsi="楷体" w:eastAsia="楷体" w:cs="楷体"/>
          <w:bCs/>
          <w:sz w:val="24"/>
          <w:szCs w:val="24"/>
        </w:rPr>
        <w:t>企业发放《</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通知书》按照</w:t>
      </w:r>
      <w:r>
        <w:rPr>
          <w:rFonts w:hint="eastAsia" w:ascii="楷体" w:hAnsi="楷体" w:eastAsia="楷体" w:cs="楷体"/>
          <w:bCs/>
          <w:sz w:val="24"/>
          <w:szCs w:val="24"/>
          <w:lang w:val="en-US" w:eastAsia="zh-CN"/>
        </w:rPr>
        <w:t>报价书价格</w:t>
      </w:r>
      <w:r>
        <w:rPr>
          <w:rFonts w:hint="eastAsia" w:ascii="楷体" w:hAnsi="楷体" w:eastAsia="楷体" w:cs="楷体"/>
          <w:bCs/>
          <w:sz w:val="24"/>
          <w:szCs w:val="24"/>
        </w:rPr>
        <w:t>签定具体采购合同。</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2．供货和结算方式：</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企业根据合同供货，货款按合同规定结算。</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3．供货过程中，如发现</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单位实际不具备供货条件，或所供应</w:t>
      </w:r>
      <w:r>
        <w:rPr>
          <w:rFonts w:hint="eastAsia" w:ascii="楷体" w:hAnsi="楷体" w:eastAsia="楷体" w:cs="楷体"/>
          <w:bCs/>
          <w:sz w:val="24"/>
          <w:szCs w:val="24"/>
          <w:u w:val="single"/>
          <w:lang w:val="en-US" w:eastAsia="zh-CN"/>
        </w:rPr>
        <w:t>钢筋</w:t>
      </w:r>
      <w:r>
        <w:rPr>
          <w:rFonts w:hint="eastAsia" w:ascii="楷体" w:hAnsi="楷体" w:eastAsia="楷体" w:cs="楷体"/>
          <w:bCs/>
          <w:sz w:val="24"/>
          <w:szCs w:val="24"/>
        </w:rPr>
        <w:t>不符合相关质量要求，</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可终止与该</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单位合作。</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（四）合同文本采用使用</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单位提供的合同文本。供货合同将以此</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文件为基础签订，凡参与</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的单位皆被视为认可文件中出现的所有条款，并被视为</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单位已把文件中出现的所有条款综合考虑在自己的报价中。</w:t>
      </w:r>
      <w:r>
        <w:rPr>
          <w:rFonts w:hint="eastAsia" w:ascii="楷体" w:hAnsi="楷体" w:eastAsia="楷体" w:cs="楷体"/>
          <w:bCs/>
          <w:sz w:val="24"/>
          <w:szCs w:val="24"/>
          <w:lang w:val="en-US"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单位放弃资格，</w:t>
      </w:r>
      <w:r>
        <w:rPr>
          <w:rFonts w:hint="eastAsia" w:ascii="楷体" w:hAnsi="楷体" w:eastAsia="楷体" w:cs="楷体"/>
          <w:bCs/>
          <w:sz w:val="24"/>
          <w:szCs w:val="24"/>
          <w:lang w:val="en-US" w:eastAsia="zh-CN"/>
        </w:rPr>
        <w:t>我司</w:t>
      </w:r>
      <w:r>
        <w:rPr>
          <w:rFonts w:hint="eastAsia" w:ascii="楷体" w:hAnsi="楷体" w:eastAsia="楷体" w:cs="楷体"/>
          <w:bCs/>
          <w:sz w:val="24"/>
          <w:szCs w:val="24"/>
        </w:rPr>
        <w:t>与备选单位签订合同。</w:t>
      </w:r>
    </w:p>
    <w:p>
      <w:pPr>
        <w:pStyle w:val="4"/>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4" w:name="_Toc343700739"/>
      <w:bookmarkStart w:id="5" w:name="_Toc343692941"/>
      <w:r>
        <w:rPr>
          <w:rFonts w:hint="eastAsia" w:ascii="楷体" w:hAnsi="楷体" w:eastAsia="楷体" w:cs="楷体"/>
          <w:sz w:val="24"/>
          <w:szCs w:val="24"/>
        </w:rPr>
        <w:t>二、</w:t>
      </w:r>
      <w:bookmarkEnd w:id="4"/>
      <w:bookmarkEnd w:id="5"/>
      <w:r>
        <w:rPr>
          <w:rFonts w:hint="eastAsia" w:ascii="楷体" w:hAnsi="楷体" w:eastAsia="楷体" w:cs="楷体"/>
          <w:sz w:val="24"/>
          <w:szCs w:val="24"/>
          <w:lang w:eastAsia="zh-CN"/>
        </w:rPr>
        <w:t>公开询价报价</w:t>
      </w:r>
      <w:r>
        <w:rPr>
          <w:rFonts w:hint="eastAsia" w:ascii="楷体" w:hAnsi="楷体" w:eastAsia="楷体" w:cs="楷体"/>
          <w:sz w:val="24"/>
          <w:szCs w:val="24"/>
        </w:rPr>
        <w:t>说明</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w:t>
      </w:r>
      <w:r>
        <w:rPr>
          <w:rFonts w:hint="eastAsia" w:ascii="楷体" w:hAnsi="楷体" w:eastAsia="楷体" w:cs="楷体"/>
          <w:bCs/>
          <w:sz w:val="24"/>
          <w:szCs w:val="24"/>
          <w:lang w:val="en-US" w:eastAsia="zh-CN"/>
        </w:rPr>
        <w:t>公开询价</w:t>
      </w:r>
      <w:r>
        <w:rPr>
          <w:rFonts w:hint="eastAsia" w:ascii="楷体" w:hAnsi="楷体" w:eastAsia="楷体" w:cs="楷体"/>
          <w:bCs/>
          <w:sz w:val="24"/>
          <w:szCs w:val="24"/>
        </w:rPr>
        <w:t>文件</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公开询价</w:t>
      </w:r>
      <w:r>
        <w:rPr>
          <w:rFonts w:hint="eastAsia" w:ascii="楷体" w:hAnsi="楷体" w:eastAsia="楷体" w:cs="楷体"/>
          <w:bCs/>
          <w:sz w:val="24"/>
          <w:szCs w:val="24"/>
        </w:rPr>
        <w:t xml:space="preserve">函 </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 xml:space="preserve">人须知    </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合同（格式）</w:t>
      </w:r>
      <w:r>
        <w:rPr>
          <w:rFonts w:hint="eastAsia" w:ascii="楷体" w:hAnsi="楷体" w:eastAsia="楷体" w:cs="楷体"/>
          <w:bCs/>
          <w:sz w:val="24"/>
          <w:szCs w:val="24"/>
        </w:rPr>
        <w:br w:type="textWrapping"/>
      </w:r>
      <w:r>
        <w:rPr>
          <w:rFonts w:hint="eastAsia" w:ascii="楷体" w:hAnsi="楷体" w:eastAsia="楷体" w:cs="楷体"/>
          <w:bCs/>
          <w:sz w:val="24"/>
          <w:szCs w:val="24"/>
          <w:lang w:val="en-US" w:eastAsia="zh-CN"/>
        </w:rPr>
        <w:t>4、报价书</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（二）</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文件具体要求</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1、本次</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的内容：</w:t>
      </w:r>
      <w:r>
        <w:rPr>
          <w:rFonts w:hint="eastAsia" w:ascii="楷体" w:hAnsi="楷体" w:eastAsia="楷体" w:cs="楷体"/>
          <w:bCs/>
          <w:sz w:val="24"/>
          <w:szCs w:val="24"/>
          <w:u w:val="single"/>
          <w:lang w:val="en-US" w:eastAsia="zh-CN"/>
        </w:rPr>
        <w:t>钢筋</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i w:val="0"/>
          <w:caps w:val="0"/>
          <w:color w:val="000000"/>
          <w:spacing w:val="0"/>
          <w:sz w:val="24"/>
          <w:szCs w:val="24"/>
          <w:lang w:eastAsia="zh-CN"/>
        </w:rPr>
      </w:pPr>
      <w:r>
        <w:rPr>
          <w:rFonts w:hint="eastAsia" w:ascii="楷体" w:hAnsi="楷体" w:eastAsia="楷体" w:cs="楷体"/>
          <w:bCs/>
          <w:sz w:val="24"/>
          <w:szCs w:val="24"/>
        </w:rPr>
        <w:t>2、承包方式：</w:t>
      </w:r>
      <w:r>
        <w:rPr>
          <w:rFonts w:hint="eastAsia" w:ascii="楷体" w:hAnsi="楷体" w:eastAsia="楷体" w:cs="楷体"/>
          <w:bCs/>
          <w:sz w:val="24"/>
          <w:szCs w:val="24"/>
          <w:u w:val="single"/>
          <w:lang w:val="en-US" w:eastAsia="zh-CN"/>
        </w:rPr>
        <w:t>钢筋</w:t>
      </w:r>
      <w:r>
        <w:rPr>
          <w:rFonts w:hint="eastAsia" w:ascii="楷体" w:hAnsi="楷体" w:eastAsia="楷体" w:cs="楷体"/>
          <w:i w:val="0"/>
          <w:caps w:val="0"/>
          <w:color w:val="000000"/>
          <w:spacing w:val="0"/>
          <w:sz w:val="24"/>
          <w:szCs w:val="24"/>
        </w:rPr>
        <w:t>的供应（包括供应商出售该物资应缴纳税金及一切税费、</w:t>
      </w:r>
      <w:r>
        <w:rPr>
          <w:rFonts w:hint="eastAsia" w:ascii="楷体" w:hAnsi="楷体" w:eastAsia="楷体" w:cs="楷体"/>
          <w:i w:val="0"/>
          <w:caps w:val="0"/>
          <w:color w:val="000000"/>
          <w:spacing w:val="0"/>
          <w:sz w:val="24"/>
          <w:szCs w:val="24"/>
          <w:lang w:val="en-US" w:eastAsia="zh-CN"/>
        </w:rPr>
        <w:t>装卸</w:t>
      </w:r>
      <w:r>
        <w:rPr>
          <w:rFonts w:hint="eastAsia" w:ascii="楷体" w:hAnsi="楷体" w:eastAsia="楷体" w:cs="楷体"/>
          <w:i w:val="0"/>
          <w:caps w:val="0"/>
          <w:color w:val="000000"/>
          <w:spacing w:val="0"/>
          <w:sz w:val="24"/>
          <w:szCs w:val="24"/>
        </w:rPr>
        <w:t>车费、包装费、保险费、运输费，以及其他运抵至甲方指定交货地点的一切费用；包括售后服务以及市场价格涨幅等的各类风险费用；以及其他所有相关服务费用</w:t>
      </w:r>
      <w:r>
        <w:rPr>
          <w:rFonts w:hint="eastAsia" w:ascii="楷体" w:hAnsi="楷体" w:eastAsia="楷体" w:cs="楷体"/>
          <w:i w:val="0"/>
          <w:caps w:val="0"/>
          <w:color w:val="000000"/>
          <w:spacing w:val="0"/>
          <w:sz w:val="24"/>
          <w:szCs w:val="24"/>
          <w:lang w:val="en-US" w:eastAsia="zh-CN"/>
        </w:rPr>
        <w:t>等</w:t>
      </w:r>
      <w:r>
        <w:rPr>
          <w:rFonts w:hint="eastAsia" w:ascii="楷体" w:hAnsi="楷体" w:eastAsia="楷体" w:cs="楷体"/>
          <w:i w:val="0"/>
          <w:caps w:val="0"/>
          <w:color w:val="000000"/>
          <w:spacing w:val="0"/>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lang w:val="en-US" w:eastAsia="zh-CN"/>
        </w:rPr>
      </w:pPr>
      <w:r>
        <w:rPr>
          <w:rFonts w:hint="eastAsia" w:ascii="楷体" w:hAnsi="楷体" w:eastAsia="楷体" w:cs="楷体"/>
          <w:bCs/>
          <w:sz w:val="24"/>
          <w:szCs w:val="24"/>
          <w:lang w:val="en-US" w:eastAsia="zh-CN"/>
        </w:rPr>
        <w:t>3.</w:t>
      </w:r>
      <w:bookmarkStart w:id="6" w:name="_Toc343700740"/>
      <w:bookmarkStart w:id="7" w:name="_Toc343692942"/>
      <w:r>
        <w:rPr>
          <w:rFonts w:hint="eastAsia" w:ascii="楷体" w:hAnsi="楷体" w:eastAsia="楷体" w:cs="楷体"/>
          <w:bCs/>
          <w:sz w:val="24"/>
          <w:szCs w:val="24"/>
        </w:rPr>
        <w:t>1、供应材料均应符合标准等国家标准、行业标准、地方标准及甲方提出的要求</w:t>
      </w:r>
      <w:r>
        <w:rPr>
          <w:rFonts w:hint="eastAsia" w:ascii="楷体" w:hAnsi="楷体" w:eastAsia="楷体" w:cs="楷体"/>
          <w:bCs/>
          <w:sz w:val="24"/>
          <w:szCs w:val="24"/>
          <w:lang w:eastAsia="zh-CN"/>
        </w:rPr>
        <w:t>，</w:t>
      </w:r>
      <w:r>
        <w:rPr>
          <w:rFonts w:hint="eastAsia" w:ascii="楷体" w:hAnsi="楷体" w:eastAsia="楷体" w:cs="楷体"/>
          <w:bCs/>
          <w:sz w:val="24"/>
          <w:szCs w:val="24"/>
        </w:rPr>
        <w:t>按照《中华人民共和国产品质量法》及相关的产品质量标准规定执行及业主</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要求、设计为准。</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2、进场的物资必须符合国家相关标准</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其中各类线材、圆钢应符合《钢筋混凝土用钢第1部分:热轧光圆钢筋》GB/T 1499.1-2017 标准，盘螺、螺纹钢应符合《钢筋混凝土用钢第2部分:热轧带肋钢筋》GB/T 1499.2-2018标准及现行行业标准</w:t>
      </w:r>
      <w:r>
        <w:rPr>
          <w:rFonts w:hint="eastAsia" w:ascii="楷体" w:hAnsi="楷体" w:eastAsia="楷体" w:cs="楷体"/>
          <w:bCs/>
          <w:sz w:val="24"/>
          <w:szCs w:val="24"/>
        </w:rPr>
        <w:t>。如发生质量问题，乙方包退、包换。确保进场材料质量合格率100%，并须在材料进场的同时提供材料的质量检验部门</w:t>
      </w:r>
      <w:r>
        <w:rPr>
          <w:rFonts w:hint="eastAsia" w:ascii="楷体" w:hAnsi="楷体" w:eastAsia="楷体" w:cs="楷体"/>
          <w:bCs/>
          <w:sz w:val="24"/>
          <w:szCs w:val="24"/>
          <w:lang w:val="en-US" w:eastAsia="zh-CN"/>
        </w:rPr>
        <w:t>(机构）</w:t>
      </w:r>
      <w:r>
        <w:rPr>
          <w:rFonts w:hint="eastAsia" w:ascii="楷体" w:hAnsi="楷体" w:eastAsia="楷体" w:cs="楷体"/>
          <w:bCs/>
          <w:sz w:val="24"/>
          <w:szCs w:val="24"/>
        </w:rPr>
        <w:t>的产品材质证明书</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合格的产品检验报告</w:t>
      </w:r>
      <w:r>
        <w:rPr>
          <w:rFonts w:hint="eastAsia" w:ascii="楷体" w:hAnsi="楷体" w:eastAsia="楷体" w:cs="楷体"/>
          <w:bCs/>
          <w:sz w:val="24"/>
          <w:szCs w:val="24"/>
        </w:rPr>
        <w:t>（甲方有权对所采购的材料进行进一步检测），且材质证明书内容要和现场进料单及标牌所标明内容相对应。</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3、材料质量应严格符合工程所需材料质量验收标准、设计、合同及有关工程施工及验收规范的要求。同时，乙方的材料质量必须满足甲方保证工程质量而对质量、服务等提出的各种进一步要求，并以之为依据出具详尽的服务承诺。供应的产品应以样品为样板，否则，甲方有权随时解除合同，由此造成甲方工期延误的损失及紧急订货增加的费用等均由乙方承担。</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4、乙方的产品应符合国家有关环保法律法规的规定以及甲方ISO14000环境体系要求，不能对施工环境造成污染；同时，该货物还应该符合甲方OHSMS18000职业安全健康管理体系标准的要求，不能对接触货物的有关人员及竣工后的使用人员的健康造成危害。</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4</w:t>
      </w:r>
      <w:r>
        <w:rPr>
          <w:rFonts w:hint="eastAsia" w:ascii="楷体" w:hAnsi="楷体" w:eastAsia="楷体" w:cs="楷体"/>
          <w:bCs/>
          <w:sz w:val="24"/>
          <w:szCs w:val="24"/>
        </w:rPr>
        <w:t>、验收方法：</w:t>
      </w:r>
      <w:r>
        <w:rPr>
          <w:rFonts w:hint="eastAsia" w:ascii="楷体" w:hAnsi="楷体" w:eastAsia="楷体" w:cs="楷体"/>
          <w:bCs/>
          <w:sz w:val="24"/>
          <w:szCs w:val="24"/>
          <w:lang w:val="en-US" w:eastAsia="zh-CN"/>
        </w:rPr>
        <w:t>买方</w:t>
      </w:r>
      <w:r>
        <w:rPr>
          <w:rFonts w:hint="eastAsia" w:ascii="楷体" w:hAnsi="楷体" w:eastAsia="楷体" w:cs="楷体"/>
          <w:bCs/>
          <w:sz w:val="24"/>
          <w:szCs w:val="24"/>
        </w:rPr>
        <w:t>有权利对进场的物资进行各种形式的检验，供应商必须充分配合。所供物资均应符合现行国家标准，具有质量检验部门的产品合格证、检测报告及产品性能说明书，并应表明生产厂家、规格和生产日期，物资进场时将以上合格资料一同交由承包方。</w:t>
      </w:r>
    </w:p>
    <w:p>
      <w:pPr>
        <w:spacing w:line="360" w:lineRule="atLeast"/>
        <w:jc w:val="left"/>
        <w:rPr>
          <w:rFonts w:hint="eastAsia" w:ascii="楷体" w:hAnsi="楷体" w:eastAsia="楷体" w:cs="楷体"/>
          <w:bCs/>
          <w:sz w:val="24"/>
          <w:szCs w:val="24"/>
        </w:rPr>
      </w:pPr>
      <w:r>
        <w:rPr>
          <w:rFonts w:hint="eastAsia" w:ascii="楷体" w:hAnsi="楷体" w:eastAsia="楷体" w:cs="楷体"/>
          <w:bCs/>
          <w:sz w:val="24"/>
          <w:szCs w:val="24"/>
          <w:lang w:val="en-US" w:eastAsia="zh-CN"/>
        </w:rPr>
        <w:t>5</w:t>
      </w:r>
      <w:r>
        <w:rPr>
          <w:rFonts w:hint="eastAsia" w:ascii="楷体" w:hAnsi="楷体" w:eastAsia="楷体" w:cs="楷体"/>
          <w:bCs/>
          <w:sz w:val="24"/>
          <w:szCs w:val="24"/>
        </w:rPr>
        <w:t>、送货方式：根据</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单位要求的时间送货到指定位置</w:t>
      </w:r>
      <w:r>
        <w:rPr>
          <w:rFonts w:hint="eastAsia" w:ascii="楷体" w:hAnsi="楷体" w:eastAsia="楷体" w:cs="楷体"/>
          <w:bCs/>
          <w:sz w:val="24"/>
          <w:szCs w:val="24"/>
          <w:lang w:eastAsia="zh-CN"/>
        </w:rPr>
        <w:t>，</w:t>
      </w:r>
      <w:r>
        <w:rPr>
          <w:rFonts w:hint="eastAsia" w:ascii="楷体" w:hAnsi="楷体" w:eastAsia="楷体" w:cs="楷体"/>
          <w:bCs/>
          <w:sz w:val="24"/>
          <w:szCs w:val="24"/>
          <w:lang w:val="en-US" w:eastAsia="zh-CN"/>
        </w:rPr>
        <w:t>送货地点：</w:t>
      </w:r>
      <w:r>
        <w:rPr>
          <w:rFonts w:hint="eastAsia" w:ascii="楷体" w:hAnsi="楷体" w:eastAsia="楷体" w:cs="楷体"/>
          <w:sz w:val="24"/>
          <w:szCs w:val="24"/>
          <w:highlight w:val="none"/>
          <w:lang w:val="en-US" w:eastAsia="zh-CN"/>
        </w:rPr>
        <w:t>本项目共有3个送货地址：①白马一号308吨项目地点：海南省儋州市中二横路与西二直路交叉口东100米；②美伦国际1200吨项目地点：海南省澄迈县美造路与南二环路交叉口正东方向124米；③海南全景装配式建筑科技有限公司690吨项目地点：海南省临高县金牌港开发区美览村。</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合同文本：供货合同将以此</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文件为基础签订，凡参与的单位皆被视为认可</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文件中出现的所有条款，并被视为单位已把</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文件中出现的所有条款综合考虑在自己的报价中。</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单位在签订合同时无权调整条款，否则被视为</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单位放弃</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r>
        <w:rPr>
          <w:rFonts w:hint="eastAsia" w:ascii="楷体" w:hAnsi="楷体" w:eastAsia="楷体" w:cs="楷体"/>
          <w:bCs/>
          <w:sz w:val="24"/>
          <w:szCs w:val="24"/>
          <w:lang w:eastAsia="zh-CN"/>
        </w:rPr>
        <w:t>公开询价</w:t>
      </w:r>
      <w:r>
        <w:rPr>
          <w:rFonts w:hint="eastAsia" w:ascii="楷体" w:hAnsi="楷体" w:eastAsia="楷体" w:cs="楷体"/>
          <w:bCs/>
          <w:sz w:val="24"/>
          <w:szCs w:val="24"/>
        </w:rPr>
        <w:t>单位与备选</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单位签订合同。</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7</w:t>
      </w:r>
      <w:r>
        <w:rPr>
          <w:rFonts w:hint="eastAsia" w:ascii="楷体" w:hAnsi="楷体" w:eastAsia="楷体" w:cs="楷体"/>
          <w:bCs/>
          <w:sz w:val="24"/>
          <w:szCs w:val="24"/>
        </w:rPr>
        <w:t>、对未</w:t>
      </w:r>
      <w:r>
        <w:rPr>
          <w:rFonts w:hint="eastAsia" w:ascii="楷体" w:hAnsi="楷体" w:eastAsia="楷体" w:cs="楷体"/>
          <w:bCs/>
          <w:sz w:val="24"/>
          <w:szCs w:val="24"/>
          <w:lang w:eastAsia="zh-CN"/>
        </w:rPr>
        <w:t>成交</w:t>
      </w:r>
      <w:r>
        <w:rPr>
          <w:rFonts w:hint="eastAsia" w:ascii="楷体" w:hAnsi="楷体" w:eastAsia="楷体" w:cs="楷体"/>
          <w:bCs/>
          <w:sz w:val="24"/>
          <w:szCs w:val="24"/>
        </w:rPr>
        <w:t>的单位不做经济方面或其他方面的赔偿，也不做解释，谨对合作表示衷心的感谢。</w:t>
      </w:r>
    </w:p>
    <w:p>
      <w:pPr>
        <w:pStyle w:val="4"/>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r>
        <w:rPr>
          <w:rFonts w:hint="eastAsia" w:ascii="楷体" w:hAnsi="楷体" w:eastAsia="楷体" w:cs="楷体"/>
          <w:sz w:val="24"/>
          <w:szCs w:val="24"/>
        </w:rPr>
        <w:t>三、</w:t>
      </w:r>
      <w:r>
        <w:rPr>
          <w:rFonts w:hint="eastAsia" w:ascii="楷体" w:hAnsi="楷体" w:eastAsia="楷体" w:cs="楷体"/>
          <w:sz w:val="24"/>
          <w:szCs w:val="24"/>
          <w:lang w:val="en-US" w:eastAsia="zh-CN"/>
        </w:rPr>
        <w:t>报价</w:t>
      </w:r>
      <w:r>
        <w:rPr>
          <w:rFonts w:hint="eastAsia" w:ascii="楷体" w:hAnsi="楷体" w:eastAsia="楷体" w:cs="楷体"/>
          <w:sz w:val="24"/>
          <w:szCs w:val="24"/>
        </w:rPr>
        <w:t>书的编制和递交</w:t>
      </w:r>
      <w:bookmarkEnd w:id="6"/>
      <w:bookmarkEnd w:id="7"/>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（一）材料构成：</w:t>
      </w:r>
      <w:r>
        <w:rPr>
          <w:rFonts w:hint="eastAsia" w:ascii="楷体" w:hAnsi="楷体" w:eastAsia="楷体" w:cs="楷体"/>
          <w:bCs/>
          <w:sz w:val="24"/>
          <w:szCs w:val="24"/>
          <w:lang w:val="en-US" w:eastAsia="zh-CN"/>
        </w:rPr>
        <w:t>按照第四章报价书（格式）要求提供，内容包括</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1</w:t>
      </w:r>
      <w:r>
        <w:rPr>
          <w:rFonts w:hint="eastAsia" w:ascii="楷体" w:hAnsi="楷体" w:eastAsia="楷体" w:cs="楷体"/>
          <w:bCs/>
          <w:sz w:val="24"/>
          <w:szCs w:val="24"/>
        </w:rPr>
        <w:t>、</w:t>
      </w:r>
      <w:r>
        <w:rPr>
          <w:rFonts w:hint="eastAsia" w:ascii="楷体" w:hAnsi="楷体" w:eastAsia="楷体" w:cs="楷体"/>
          <w:bCs/>
          <w:sz w:val="24"/>
          <w:szCs w:val="24"/>
          <w:lang w:val="en-US" w:eastAsia="zh-CN"/>
        </w:rPr>
        <w:t>报价表</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2</w:t>
      </w:r>
      <w:r>
        <w:rPr>
          <w:rFonts w:hint="eastAsia" w:ascii="楷体" w:hAnsi="楷体" w:eastAsia="楷体" w:cs="楷体"/>
          <w:bCs/>
          <w:sz w:val="24"/>
          <w:szCs w:val="24"/>
        </w:rPr>
        <w:t>、</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承诺函</w:t>
      </w:r>
    </w:p>
    <w:p>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sz w:val="24"/>
          <w:szCs w:val="24"/>
          <w:lang w:val="en-US" w:eastAsia="zh-CN"/>
        </w:rPr>
      </w:pPr>
      <w:r>
        <w:rPr>
          <w:rFonts w:hint="eastAsia" w:ascii="楷体" w:hAnsi="楷体" w:eastAsia="楷体" w:cs="楷体"/>
          <w:bCs/>
          <w:sz w:val="24"/>
          <w:szCs w:val="24"/>
          <w:lang w:val="en-US" w:eastAsia="zh-CN"/>
        </w:rPr>
        <w:t>3</w:t>
      </w:r>
      <w:r>
        <w:rPr>
          <w:rFonts w:hint="eastAsia" w:ascii="楷体" w:hAnsi="楷体" w:eastAsia="楷体" w:cs="楷体"/>
          <w:bCs/>
          <w:sz w:val="24"/>
          <w:szCs w:val="24"/>
        </w:rPr>
        <w:t>、《法定代表人授权委托书》</w:t>
      </w:r>
      <w:r>
        <w:rPr>
          <w:rFonts w:hint="eastAsia" w:ascii="楷体" w:hAnsi="楷体" w:eastAsia="楷体" w:cs="楷体"/>
          <w:bCs/>
          <w:sz w:val="24"/>
          <w:szCs w:val="24"/>
          <w:lang w:val="en-US" w:eastAsia="zh-CN"/>
        </w:rPr>
        <w:br w:type="textWrapping"/>
      </w:r>
      <w:r>
        <w:rPr>
          <w:rFonts w:hint="eastAsia" w:ascii="楷体" w:hAnsi="楷体" w:eastAsia="楷体" w:cs="楷体"/>
          <w:bCs/>
          <w:sz w:val="24"/>
          <w:szCs w:val="24"/>
          <w:lang w:val="en-US" w:eastAsia="zh-CN"/>
        </w:rPr>
        <w:t>4、报价单位认为需要提供的其他文件</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（二）填写要求:</w:t>
      </w:r>
      <w:r>
        <w:rPr>
          <w:rFonts w:hint="eastAsia" w:ascii="楷体" w:hAnsi="楷体" w:eastAsia="楷体" w:cs="楷体"/>
          <w:bCs/>
          <w:sz w:val="24"/>
          <w:szCs w:val="24"/>
          <w:lang w:val="en-US" w:eastAsia="zh-CN"/>
        </w:rPr>
        <w:t>按照报价书格式要求签字、盖章。报价</w:t>
      </w:r>
      <w:r>
        <w:rPr>
          <w:rFonts w:hint="eastAsia" w:ascii="楷体" w:hAnsi="楷体" w:eastAsia="楷体" w:cs="楷体"/>
          <w:bCs/>
          <w:sz w:val="24"/>
          <w:szCs w:val="24"/>
        </w:rPr>
        <w:t>书中的企业的名称应准确无误。</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（三）材料递交时间和地点按</w:t>
      </w:r>
      <w:r>
        <w:rPr>
          <w:rFonts w:hint="eastAsia" w:ascii="楷体" w:hAnsi="楷体" w:eastAsia="楷体" w:cs="楷体"/>
          <w:bCs/>
          <w:sz w:val="24"/>
          <w:szCs w:val="24"/>
          <w:lang w:val="en-US" w:eastAsia="zh-CN"/>
        </w:rPr>
        <w:t>海南洋浦陆海国际贸易有限公司</w:t>
      </w:r>
      <w:r>
        <w:rPr>
          <w:rFonts w:hint="eastAsia" w:ascii="楷体" w:hAnsi="楷体" w:eastAsia="楷体" w:cs="楷体"/>
          <w:bCs/>
          <w:sz w:val="24"/>
          <w:szCs w:val="24"/>
        </w:rPr>
        <w:t>要求执行，因不可抗力原因，可酌情延长材料递交截止时间。</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（四）材料其它要求</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1、提供的资料必须真实、完整、合法。</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2、所有材料均须由持有法人代表授权书的被授权人递交。</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w:t>
      </w:r>
      <w:r>
        <w:rPr>
          <w:rFonts w:hint="eastAsia" w:ascii="楷体" w:hAnsi="楷体" w:eastAsia="楷体" w:cs="楷体"/>
          <w:bCs/>
          <w:sz w:val="24"/>
          <w:szCs w:val="24"/>
          <w:lang w:val="en-US" w:eastAsia="zh-CN"/>
        </w:rPr>
        <w:t>投标时无需提供授权书，中标后需提供厂家授权书</w:t>
      </w:r>
      <w:r>
        <w:rPr>
          <w:rFonts w:hint="eastAsia" w:ascii="楷体" w:hAnsi="楷体" w:eastAsia="楷体" w:cs="楷体"/>
          <w:bCs/>
          <w:sz w:val="24"/>
          <w:szCs w:val="24"/>
        </w:rPr>
        <w:t>。</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4、提供虚假资质证明文件的，一经发现立即取消其资格，并交由相关部门依法处理。</w:t>
      </w:r>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5、申报材料应逐页加盖企业公章，复印件应清晰、完整。</w:t>
      </w:r>
    </w:p>
    <w:p>
      <w:pPr>
        <w:pStyle w:val="4"/>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sz w:val="24"/>
          <w:szCs w:val="24"/>
        </w:rPr>
      </w:pPr>
      <w:bookmarkStart w:id="8" w:name="_Toc343700741"/>
      <w:bookmarkStart w:id="9" w:name="_Toc343692943"/>
      <w:r>
        <w:rPr>
          <w:rFonts w:hint="eastAsia" w:ascii="楷体" w:hAnsi="楷体" w:eastAsia="楷体" w:cs="楷体"/>
          <w:sz w:val="24"/>
          <w:szCs w:val="24"/>
        </w:rPr>
        <w:t>四、报价</w:t>
      </w:r>
      <w:bookmarkEnd w:id="8"/>
      <w:bookmarkEnd w:id="9"/>
    </w:p>
    <w:p>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（一））报价使用货币为人民币，单位为“元/</w:t>
      </w:r>
      <w:r>
        <w:rPr>
          <w:rFonts w:hint="eastAsia" w:ascii="楷体" w:hAnsi="楷体" w:eastAsia="楷体" w:cs="楷体"/>
          <w:bCs/>
          <w:sz w:val="24"/>
          <w:szCs w:val="24"/>
          <w:lang w:val="en-US" w:eastAsia="zh-CN"/>
        </w:rPr>
        <w:t>吨</w:t>
      </w:r>
      <w:r>
        <w:rPr>
          <w:rFonts w:hint="eastAsia" w:ascii="楷体" w:hAnsi="楷体" w:eastAsia="楷体" w:cs="楷体"/>
          <w:bCs/>
          <w:sz w:val="24"/>
          <w:szCs w:val="24"/>
        </w:rPr>
        <w:t>”，报价保留到小数点后两位。</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w:t>
      </w:r>
      <w:r>
        <w:rPr>
          <w:rFonts w:hint="eastAsia" w:ascii="楷体" w:hAnsi="楷体" w:eastAsia="楷体" w:cs="楷体"/>
          <w:bCs/>
          <w:sz w:val="24"/>
          <w:szCs w:val="24"/>
          <w:lang w:val="en-US" w:eastAsia="zh-CN"/>
        </w:rPr>
        <w:t>二</w:t>
      </w:r>
      <w:r>
        <w:rPr>
          <w:rFonts w:hint="eastAsia" w:ascii="楷体" w:hAnsi="楷体" w:eastAsia="楷体" w:cs="楷体"/>
          <w:bCs/>
          <w:sz w:val="24"/>
          <w:szCs w:val="24"/>
        </w:rPr>
        <w:t>）报价是指供货商供应的落地价。</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eastAsia="zh-CN"/>
        </w:rPr>
      </w:pPr>
      <w:r>
        <w:rPr>
          <w:rFonts w:hint="eastAsia" w:ascii="楷体" w:hAnsi="楷体" w:eastAsia="楷体" w:cs="楷体"/>
          <w:bCs/>
          <w:sz w:val="24"/>
          <w:szCs w:val="24"/>
        </w:rPr>
        <w:t>（</w:t>
      </w:r>
      <w:r>
        <w:rPr>
          <w:rFonts w:hint="eastAsia" w:ascii="楷体" w:hAnsi="楷体" w:eastAsia="楷体" w:cs="楷体"/>
          <w:bCs/>
          <w:sz w:val="24"/>
          <w:szCs w:val="24"/>
          <w:lang w:val="en-US" w:eastAsia="zh-CN"/>
        </w:rPr>
        <w:t>三</w:t>
      </w:r>
      <w:r>
        <w:rPr>
          <w:rFonts w:hint="eastAsia" w:ascii="楷体" w:hAnsi="楷体" w:eastAsia="楷体" w:cs="楷体"/>
          <w:bCs/>
          <w:sz w:val="24"/>
          <w:szCs w:val="24"/>
        </w:rPr>
        <w:t>）报价截至时间：以《</w:t>
      </w:r>
      <w:r>
        <w:rPr>
          <w:rFonts w:hint="eastAsia" w:ascii="楷体" w:hAnsi="楷体" w:eastAsia="楷体" w:cs="楷体"/>
          <w:bCs/>
          <w:sz w:val="24"/>
          <w:szCs w:val="24"/>
          <w:lang w:val="en-US" w:eastAsia="zh-CN"/>
        </w:rPr>
        <w:t>公开询价报价函</w:t>
      </w:r>
      <w:r>
        <w:rPr>
          <w:rFonts w:hint="eastAsia" w:ascii="楷体" w:hAnsi="楷体" w:eastAsia="楷体" w:cs="楷体"/>
          <w:bCs/>
          <w:sz w:val="24"/>
          <w:szCs w:val="24"/>
        </w:rPr>
        <w:t>》</w:t>
      </w:r>
      <w:r>
        <w:rPr>
          <w:rFonts w:hint="eastAsia" w:ascii="楷体" w:hAnsi="楷体" w:eastAsia="楷体" w:cs="楷体"/>
          <w:sz w:val="24"/>
          <w:szCs w:val="24"/>
        </w:rPr>
        <w:t>公布的时间为准。</w:t>
      </w:r>
      <w:bookmarkStart w:id="10" w:name="_Toc343692950"/>
      <w:bookmarkStart w:id="11" w:name="_Toc343700748"/>
      <w:r>
        <w:rPr>
          <w:rFonts w:hint="eastAsia" w:ascii="楷体" w:hAnsi="楷体" w:eastAsia="楷体" w:cs="楷体"/>
          <w:sz w:val="24"/>
          <w:szCs w:val="24"/>
        </w:rPr>
        <w:br w:type="textWrapping"/>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四</w:t>
      </w:r>
      <w:r>
        <w:rPr>
          <w:rFonts w:hint="eastAsia" w:ascii="楷体" w:hAnsi="楷体" w:eastAsia="楷体" w:cs="楷体"/>
          <w:sz w:val="24"/>
          <w:szCs w:val="24"/>
          <w:lang w:eastAsia="zh-CN"/>
        </w:rPr>
        <w:t>）</w:t>
      </w:r>
      <w:r>
        <w:rPr>
          <w:rFonts w:hint="eastAsia" w:ascii="楷体" w:hAnsi="楷体" w:eastAsia="楷体" w:cs="楷体"/>
          <w:sz w:val="24"/>
          <w:szCs w:val="24"/>
        </w:rPr>
        <w:t>报价评分标准</w:t>
      </w:r>
      <w:r>
        <w:rPr>
          <w:rFonts w:hint="eastAsia" w:ascii="楷体" w:hAnsi="楷体" w:eastAsia="楷体" w:cs="楷体"/>
          <w:sz w:val="24"/>
          <w:szCs w:val="24"/>
          <w:lang w:eastAsia="zh-CN"/>
        </w:rPr>
        <w:t>：</w:t>
      </w:r>
      <w:r>
        <w:rPr>
          <w:rFonts w:hint="eastAsia" w:ascii="楷体" w:hAnsi="楷体" w:eastAsia="楷体" w:cs="楷体"/>
          <w:sz w:val="24"/>
          <w:szCs w:val="24"/>
          <w:lang w:eastAsia="zh-CN"/>
        </w:rPr>
        <w:br w:type="textWrapping"/>
      </w:r>
      <w:r>
        <w:rPr>
          <w:rFonts w:hint="eastAsia" w:ascii="楷体" w:hAnsi="楷体" w:eastAsia="楷体" w:cs="楷体"/>
          <w:sz w:val="24"/>
          <w:szCs w:val="24"/>
          <w:lang w:eastAsia="zh-CN"/>
        </w:rPr>
        <w:t>1.投标单价（A1）=投标基准价（B1）+浮动价（N）</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2.投标单价（A1）：每吨钢材到货单价（包含但不限于材料费、试验费（出厂前的）、包装费、搬运费、储存费、装卸车费、服务费及售后服务费等以及所有相关税费）；</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3.投标基准价（B1）: 本次招标所有规格钢材的投标基准价暂定以</w:t>
      </w:r>
      <w:r>
        <w:rPr>
          <w:rFonts w:hint="eastAsia" w:ascii="楷体" w:hAnsi="楷体" w:eastAsia="楷体" w:cs="楷体"/>
          <w:sz w:val="24"/>
          <w:szCs w:val="24"/>
          <w:highlight w:val="none"/>
          <w:lang w:eastAsia="zh-CN"/>
        </w:rPr>
        <w:t>4</w:t>
      </w:r>
      <w:r>
        <w:rPr>
          <w:rFonts w:hint="eastAsia" w:ascii="楷体" w:hAnsi="楷体" w:eastAsia="楷体" w:cs="楷体"/>
          <w:sz w:val="24"/>
          <w:szCs w:val="24"/>
          <w:highlight w:val="none"/>
          <w:lang w:val="en-US" w:eastAsia="zh-CN"/>
        </w:rPr>
        <w:t>1</w:t>
      </w:r>
      <w:r>
        <w:rPr>
          <w:rFonts w:hint="eastAsia" w:ascii="楷体" w:hAnsi="楷体" w:eastAsia="楷体" w:cs="楷体"/>
          <w:sz w:val="24"/>
          <w:szCs w:val="24"/>
          <w:highlight w:val="none"/>
          <w:lang w:eastAsia="zh-CN"/>
        </w:rPr>
        <w:t>00元/吨</w:t>
      </w:r>
      <w:r>
        <w:rPr>
          <w:rFonts w:hint="eastAsia" w:ascii="楷体" w:hAnsi="楷体" w:eastAsia="楷体" w:cs="楷体"/>
          <w:sz w:val="24"/>
          <w:szCs w:val="24"/>
          <w:lang w:eastAsia="zh-CN"/>
        </w:rPr>
        <w:t>为基准。此单价仅用于本次招标开标时核算总价的依据，不作为将来中标后合同结算依据；</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4.浮动价（N）：由供应商根据本单位情况综合考虑在投标基准价（B1）的基础上进行下浮的价格，包括但不限于运费、杂费、税费、利润、装卸车费、搬运费等一切费用，由中标人在投标报价时报出，全部供应期内浮动价（N）固定不变。</w:t>
      </w:r>
      <w:r>
        <w:rPr>
          <w:rFonts w:hint="eastAsia" w:ascii="楷体" w:hAnsi="楷体" w:eastAsia="楷体" w:cs="楷体"/>
          <w:sz w:val="24"/>
          <w:szCs w:val="24"/>
          <w:lang w:val="en-US" w:eastAsia="zh-CN"/>
        </w:rPr>
        <w:t>所有钢筋按</w:t>
      </w:r>
      <w:r>
        <w:rPr>
          <w:rFonts w:hint="eastAsia" w:ascii="楷体" w:hAnsi="楷体" w:eastAsia="楷体" w:cs="楷体"/>
          <w:sz w:val="24"/>
          <w:szCs w:val="24"/>
          <w:lang w:eastAsia="zh-CN"/>
        </w:rPr>
        <w:t>过磅计重。</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eastAsia="zh-CN"/>
        </w:rPr>
        <w:t>5.评标基准价：有效投标单位的有效投标总价最低作为评标基准价。投标总价=投标单价*数量。</w:t>
      </w:r>
      <w:r>
        <w:rPr>
          <w:rFonts w:hint="eastAsia" w:ascii="楷体" w:hAnsi="楷体" w:eastAsia="楷体" w:cs="楷体"/>
          <w:sz w:val="24"/>
          <w:szCs w:val="24"/>
          <w:lang w:eastAsia="zh-CN"/>
        </w:rPr>
        <w:br w:type="textWrapping"/>
      </w:r>
      <w:r>
        <w:rPr>
          <w:rFonts w:hint="eastAsia" w:ascii="楷体" w:hAnsi="楷体" w:eastAsia="楷体" w:cs="楷体"/>
          <w:sz w:val="24"/>
          <w:szCs w:val="24"/>
          <w:lang w:val="en-US" w:eastAsia="zh-CN"/>
        </w:rPr>
        <w:t xml:space="preserve"> （五）钢材结算方式</w:t>
      </w:r>
      <w:r>
        <w:rPr>
          <w:rFonts w:hint="eastAsia" w:ascii="楷体" w:hAnsi="楷体" w:eastAsia="楷体" w:cs="楷体"/>
          <w:sz w:val="24"/>
          <w:szCs w:val="24"/>
          <w:lang w:val="en-US" w:eastAsia="zh-CN"/>
        </w:rPr>
        <w:br w:type="textWrapping"/>
      </w:r>
      <w:r>
        <w:rPr>
          <w:rFonts w:hint="eastAsia" w:ascii="楷体" w:hAnsi="楷体" w:eastAsia="楷体" w:cs="楷体"/>
          <w:sz w:val="24"/>
          <w:szCs w:val="24"/>
          <w:lang w:val="en-US" w:eastAsia="zh-CN"/>
        </w:rPr>
        <w:t>钢材结算实行浮动价，结算单价（简称“A2”）=结算基准价(B2)+浮动价(N)</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结算基准单价(B2)：高线、盘螺、螺纹钢以供应周期内到货当日“我的钢铁网”首次公布的“海口市场建筑钢材价格行情”中对应品牌对应材质、规格的网价作为结算基准价；遇节假日时，参照节假日前一天网价。</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浮动价(N)：由供应商根据本单位情况综合考虑在基准价的基础上进行上浮或下浮的价格，包括但不限于运费、杂费、税费、利润、装卸车费、搬运费等，由中标人在投标报价时报出，全部供应期内浮动价固定不变。</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a. 如我的钢铁网（www.mysteel.com）当天有多个报价时，以首次报价为准；</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b.若当日网上没有发布对应材质、规格的网价则按照同种规格及材质当日首次公布的桂万钢品牌网价作为结算基准价；若当日网上既没有发布所供品牌对应材质、规格的网价也没有同种规格其他品牌的网价，则按照当日首次公布的所供应品牌最接近小规格的网价，没有最接近小规格的网价则参照最接近大规格的网价作为结算基准价；</w:t>
      </w:r>
    </w:p>
    <w:p>
      <w:pPr>
        <w:pageBreakBefore w:val="0"/>
        <w:widowControl w:val="0"/>
        <w:tabs>
          <w:tab w:val="left" w:pos="709"/>
        </w:tabs>
        <w:kinsoku/>
        <w:wordWrap/>
        <w:overflowPunct/>
        <w:topLinePunct w:val="0"/>
        <w:autoSpaceDE/>
        <w:autoSpaceDN/>
        <w:bidi w:val="0"/>
        <w:adjustRightInd/>
        <w:snapToGrid/>
        <w:spacing w:line="400" w:lineRule="exact"/>
        <w:textAlignment w:val="auto"/>
        <w:rPr>
          <w:rFonts w:hint="default"/>
          <w:lang w:val="en-US" w:eastAsia="zh-CN"/>
        </w:rPr>
        <w:sectPr>
          <w:pgSz w:w="11906" w:h="16838"/>
          <w:pgMar w:top="1440" w:right="1800" w:bottom="1247" w:left="1800" w:header="851" w:footer="992" w:gutter="0"/>
          <w:cols w:space="0" w:num="1"/>
          <w:docGrid w:type="lines" w:linePitch="312" w:charSpace="0"/>
        </w:sectPr>
      </w:pPr>
      <w:r>
        <w:rPr>
          <w:rFonts w:hint="eastAsia" w:ascii="楷体" w:hAnsi="楷体" w:eastAsia="楷体" w:cs="楷体"/>
          <w:sz w:val="24"/>
          <w:szCs w:val="24"/>
          <w:lang w:val="en-US" w:eastAsia="zh-CN"/>
        </w:rPr>
        <w:t>c.供应时新增规格无公布网价时，其供应周期结算基准价参照最接近小规格基准价，没有最接近小规格的则参照最接近大规格确定。</w:t>
      </w:r>
    </w:p>
    <w:p>
      <w:pPr>
        <w:jc w:val="both"/>
        <w:rPr>
          <w:rFonts w:hint="default" w:ascii="楷体" w:hAnsi="楷体" w:eastAsia="楷体" w:cs="楷体"/>
          <w:b/>
          <w:bCs/>
          <w:kern w:val="44"/>
          <w:sz w:val="24"/>
          <w:szCs w:val="24"/>
          <w:lang w:val="en-US" w:eastAsia="zh-CN" w:bidi="ar-SA"/>
        </w:rPr>
      </w:pPr>
      <w:r>
        <w:rPr>
          <w:rFonts w:hint="eastAsia" w:ascii="楷体" w:hAnsi="楷体" w:eastAsia="楷体" w:cs="楷体"/>
          <w:b/>
          <w:bCs/>
          <w:kern w:val="44"/>
          <w:sz w:val="24"/>
          <w:szCs w:val="24"/>
          <w:lang w:val="en-US" w:eastAsia="zh-CN" w:bidi="ar-SA"/>
        </w:rPr>
        <w:t>第三章合同（格式）</w:t>
      </w:r>
    </w:p>
    <w:p>
      <w:pPr>
        <w:jc w:val="center"/>
        <w:rPr>
          <w:rFonts w:hint="eastAsia" w:ascii="宋体" w:hAnsi="宋体"/>
          <w:b/>
          <w:bCs/>
          <w:sz w:val="44"/>
          <w:szCs w:val="44"/>
          <w:lang w:eastAsia="zh-CN"/>
        </w:rPr>
      </w:pPr>
    </w:p>
    <w:p>
      <w:pPr>
        <w:jc w:val="center"/>
        <w:rPr>
          <w:rFonts w:hint="eastAsia" w:ascii="宋体" w:hAnsi="宋体"/>
          <w:b/>
          <w:bCs/>
          <w:sz w:val="44"/>
          <w:szCs w:val="44"/>
          <w:lang w:eastAsia="zh-CN"/>
        </w:rPr>
      </w:pPr>
      <w:r>
        <w:rPr>
          <w:rFonts w:hint="eastAsia" w:ascii="宋体" w:hAnsi="宋体"/>
          <w:b/>
          <w:bCs/>
          <w:sz w:val="44"/>
          <w:szCs w:val="44"/>
          <w:lang w:eastAsia="zh-CN"/>
        </w:rPr>
        <w:t>海南洋浦陆海国际贸易有限公司</w:t>
      </w:r>
    </w:p>
    <w:p>
      <w:pPr>
        <w:jc w:val="center"/>
        <w:rPr>
          <w:rFonts w:hint="eastAsia" w:ascii="仿宋" w:hAnsi="仿宋" w:eastAsia="仿宋"/>
          <w:b/>
          <w:bCs/>
          <w:sz w:val="44"/>
          <w:szCs w:val="44"/>
        </w:rPr>
      </w:pPr>
      <w:r>
        <w:rPr>
          <w:rFonts w:hint="eastAsia" w:ascii="宋体" w:hAnsi="宋体"/>
          <w:b/>
          <w:bCs/>
          <w:sz w:val="44"/>
          <w:szCs w:val="44"/>
        </w:rPr>
        <w:t>钢材采购合同</w:t>
      </w:r>
    </w:p>
    <w:p>
      <w:pPr>
        <w:jc w:val="center"/>
        <w:rPr>
          <w:rFonts w:hint="eastAsia" w:ascii="仿宋" w:hAnsi="仿宋" w:eastAsia="仿宋"/>
          <w:b/>
          <w:bCs/>
          <w:sz w:val="44"/>
          <w:szCs w:val="44"/>
        </w:rPr>
      </w:pPr>
      <w:r>
        <w:rPr>
          <w:rFonts w:hint="eastAsia" w:ascii="仿宋" w:hAnsi="仿宋" w:eastAsia="仿宋"/>
          <w:b/>
          <w:bCs/>
          <w:sz w:val="44"/>
          <w:szCs w:val="44"/>
        </w:rPr>
        <w:t xml:space="preserve"> </w:t>
      </w: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883" w:firstLineChars="200"/>
        <w:rPr>
          <w:rFonts w:hint="eastAsia" w:ascii="仿宋" w:hAnsi="仿宋" w:eastAsia="仿宋"/>
          <w:b/>
          <w:bCs/>
          <w:sz w:val="44"/>
          <w:szCs w:val="44"/>
        </w:rPr>
      </w:pPr>
    </w:p>
    <w:p>
      <w:pPr>
        <w:ind w:firstLine="600" w:firstLineChars="200"/>
        <w:rPr>
          <w:rFonts w:hint="eastAsia" w:ascii="仿宋" w:hAnsi="仿宋" w:eastAsia="仿宋"/>
          <w:sz w:val="30"/>
          <w:szCs w:val="30"/>
        </w:rPr>
      </w:pPr>
      <w:r>
        <w:rPr>
          <w:rFonts w:hint="eastAsia" w:ascii="仿宋" w:hAnsi="仿宋" w:eastAsia="仿宋"/>
          <w:sz w:val="30"/>
          <w:szCs w:val="30"/>
        </w:rPr>
        <w:t>甲方（采购方）：</w:t>
      </w:r>
      <w:r>
        <w:rPr>
          <w:rFonts w:hint="eastAsia" w:ascii="仿宋" w:hAnsi="仿宋" w:eastAsia="仿宋"/>
          <w:sz w:val="30"/>
          <w:szCs w:val="30"/>
          <w:u w:val="single"/>
        </w:rPr>
        <w:t>海南洋浦陆海国际贸易有限公司</w:t>
      </w:r>
    </w:p>
    <w:p>
      <w:pPr>
        <w:ind w:firstLine="600" w:firstLineChars="200"/>
        <w:rPr>
          <w:rFonts w:hint="eastAsia" w:ascii="仿宋" w:hAnsi="仿宋" w:eastAsia="仿宋"/>
          <w:sz w:val="30"/>
          <w:szCs w:val="30"/>
          <w:u w:val="single"/>
        </w:rPr>
      </w:pPr>
      <w:r>
        <w:rPr>
          <w:rFonts w:hint="eastAsia" w:ascii="仿宋" w:hAnsi="仿宋" w:eastAsia="仿宋"/>
          <w:sz w:val="30"/>
          <w:szCs w:val="30"/>
        </w:rPr>
        <w:t>乙方（供应商）：</w:t>
      </w:r>
      <w:r>
        <w:rPr>
          <w:rFonts w:hint="eastAsia" w:ascii="仿宋" w:hAnsi="仿宋" w:eastAsia="仿宋"/>
          <w:sz w:val="30"/>
          <w:szCs w:val="30"/>
          <w:u w:val="single"/>
        </w:rPr>
        <w:t xml:space="preserve">                            </w:t>
      </w:r>
    </w:p>
    <w:p>
      <w:pPr>
        <w:ind w:left="2096" w:leftChars="284" w:hanging="1500" w:hangingChars="500"/>
        <w:rPr>
          <w:rFonts w:hint="eastAsia" w:ascii="仿宋" w:hAnsi="仿宋" w:eastAsia="仿宋"/>
          <w:sz w:val="30"/>
          <w:szCs w:val="30"/>
          <w:u w:val="single"/>
        </w:rPr>
      </w:pPr>
      <w:r>
        <w:rPr>
          <w:rFonts w:hint="eastAsia" w:ascii="仿宋" w:hAnsi="仿宋" w:eastAsia="仿宋"/>
          <w:sz w:val="30"/>
          <w:szCs w:val="30"/>
        </w:rPr>
        <w:t>签约地点：</w:t>
      </w:r>
      <w:r>
        <w:rPr>
          <w:rFonts w:hint="eastAsia" w:ascii="仿宋" w:hAnsi="仿宋" w:eastAsia="仿宋"/>
          <w:sz w:val="30"/>
          <w:szCs w:val="30"/>
          <w:u w:val="single"/>
        </w:rPr>
        <w:t>海南省儋州市洋浦经济开发区洋浦国际商业大厦</w:t>
      </w:r>
    </w:p>
    <w:p>
      <w:pPr>
        <w:ind w:firstLine="600" w:firstLineChars="200"/>
        <w:rPr>
          <w:rFonts w:hint="eastAsia" w:ascii="仿宋" w:hAnsi="仿宋" w:eastAsia="仿宋"/>
          <w:sz w:val="30"/>
          <w:szCs w:val="30"/>
          <w:u w:val="single"/>
        </w:rPr>
      </w:pPr>
      <w:r>
        <w:rPr>
          <w:rFonts w:hint="eastAsia" w:ascii="仿宋" w:hAnsi="仿宋" w:eastAsia="仿宋"/>
          <w:sz w:val="30"/>
          <w:szCs w:val="30"/>
          <w:u w:val="none"/>
        </w:rPr>
        <w:t>签约时间：</w:t>
      </w:r>
      <w:r>
        <w:rPr>
          <w:rFonts w:hint="eastAsia" w:ascii="仿宋" w:hAnsi="仿宋" w:eastAsia="仿宋"/>
          <w:sz w:val="30"/>
          <w:szCs w:val="30"/>
          <w:u w:val="single"/>
        </w:rPr>
        <w:t>202</w:t>
      </w:r>
      <w:r>
        <w:rPr>
          <w:rFonts w:hint="eastAsia" w:ascii="仿宋" w:hAnsi="仿宋" w:eastAsia="仿宋"/>
          <w:sz w:val="30"/>
          <w:szCs w:val="30"/>
          <w:u w:val="single"/>
          <w:lang w:val="en-US" w:eastAsia="zh-CN"/>
        </w:rPr>
        <w:t>4</w:t>
      </w:r>
      <w:bookmarkStart w:id="19" w:name="_GoBack"/>
      <w:bookmarkEnd w:id="19"/>
      <w:r>
        <w:rPr>
          <w:rFonts w:hint="eastAsia" w:ascii="仿宋" w:hAnsi="仿宋" w:eastAsia="仿宋"/>
          <w:sz w:val="30"/>
          <w:szCs w:val="30"/>
          <w:u w:val="single"/>
        </w:rPr>
        <w:t>年   月   日</w:t>
      </w:r>
    </w:p>
    <w:p>
      <w:pPr>
        <w:rPr>
          <w:rFonts w:hint="eastAsia" w:ascii="仿宋" w:hAnsi="仿宋" w:eastAsia="仿宋"/>
          <w:b/>
          <w:bCs/>
          <w:sz w:val="44"/>
          <w:szCs w:val="44"/>
        </w:rPr>
      </w:pPr>
      <w:r>
        <w:rPr>
          <w:rFonts w:hint="eastAsia" w:ascii="仿宋" w:hAnsi="仿宋" w:eastAsia="仿宋"/>
          <w:b/>
          <w:bCs/>
          <w:sz w:val="44"/>
          <w:szCs w:val="44"/>
        </w:rPr>
        <w:t xml:space="preserve"> </w:t>
      </w:r>
    </w:p>
    <w:p>
      <w:pPr>
        <w:rPr>
          <w:rFonts w:hint="eastAsia" w:ascii="仿宋" w:hAnsi="仿宋" w:eastAsia="仿宋"/>
          <w:b/>
          <w:bCs/>
          <w:sz w:val="44"/>
          <w:szCs w:val="44"/>
        </w:rPr>
      </w:pPr>
      <w:r>
        <w:rPr>
          <w:rFonts w:hint="eastAsia" w:ascii="仿宋" w:hAnsi="仿宋" w:eastAsia="仿宋"/>
          <w:b/>
          <w:bCs/>
          <w:sz w:val="44"/>
          <w:szCs w:val="4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rPr>
        <w:sectPr>
          <w:pgSz w:w="11906" w:h="16838"/>
          <w:pgMar w:top="1440" w:right="1800" w:bottom="1247" w:left="1800" w:header="851" w:footer="992" w:gutter="0"/>
          <w:cols w:space="0" w:num="1"/>
          <w:docGrid w:type="lines" w:linePitch="312" w:charSpace="0"/>
        </w:sectPr>
      </w:pPr>
    </w:p>
    <w:p>
      <w:pPr>
        <w:pageBreakBefore w:val="0"/>
        <w:widowControl/>
        <w:kinsoku/>
        <w:wordWrap/>
        <w:overflowPunct/>
        <w:topLinePunct w:val="0"/>
        <w:autoSpaceDE/>
        <w:autoSpaceDN/>
        <w:bidi w:val="0"/>
        <w:adjustRightInd/>
        <w:snapToGrid/>
        <w:spacing w:line="400" w:lineRule="exact"/>
        <w:textAlignment w:val="auto"/>
        <w:rPr>
          <w:rFonts w:ascii="仿宋" w:hAnsi="仿宋" w:eastAsia="仿宋"/>
          <w:sz w:val="24"/>
          <w:szCs w:val="24"/>
        </w:rPr>
      </w:pPr>
      <w:r>
        <w:rPr>
          <w:rFonts w:hint="eastAsia" w:ascii="仿宋" w:hAnsi="仿宋" w:eastAsia="仿宋"/>
          <w:sz w:val="24"/>
          <w:szCs w:val="24"/>
        </w:rPr>
        <w:t>甲  方：</w:t>
      </w:r>
      <w:r>
        <w:rPr>
          <w:rFonts w:hint="eastAsia" w:ascii="仿宋" w:hAnsi="仿宋" w:eastAsia="仿宋"/>
          <w:sz w:val="24"/>
          <w:szCs w:val="24"/>
          <w:u w:val="single"/>
        </w:rPr>
        <w:t>海南洋浦陆海国际贸易有限公司</w:t>
      </w:r>
      <w:r>
        <w:rPr>
          <w:rFonts w:hint="eastAsia" w:ascii="仿宋" w:hAnsi="仿宋" w:eastAsia="仿宋"/>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u w:val="single"/>
        </w:rPr>
      </w:pPr>
      <w:r>
        <w:rPr>
          <w:rFonts w:hint="eastAsia" w:ascii="仿宋" w:hAnsi="仿宋" w:eastAsia="仿宋"/>
          <w:sz w:val="24"/>
          <w:szCs w:val="24"/>
        </w:rPr>
        <w:t>住  所：</w:t>
      </w:r>
      <w:r>
        <w:rPr>
          <w:rFonts w:hint="eastAsia" w:ascii="仿宋" w:hAnsi="仿宋" w:eastAsia="仿宋"/>
          <w:sz w:val="24"/>
          <w:szCs w:val="24"/>
          <w:u w:val="single"/>
        </w:rPr>
        <w:t>海南省洋浦经济开发区洋浦大厦3楼305房</w:t>
      </w:r>
    </w:p>
    <w:p>
      <w:pPr>
        <w:pStyle w:val="5"/>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rPr>
      </w:pPr>
      <w:bookmarkStart w:id="12" w:name="_Toc145350959"/>
      <w:bookmarkStart w:id="13" w:name="_Toc145343938"/>
      <w:r>
        <w:rPr>
          <w:rFonts w:hint="eastAsia" w:ascii="仿宋" w:hAnsi="仿宋" w:eastAsia="仿宋"/>
          <w:b/>
          <w:bCs/>
          <w:sz w:val="24"/>
          <w:szCs w:val="24"/>
        </w:rPr>
        <w:t>法定代表人：</w:t>
      </w:r>
      <w:bookmarkEnd w:id="12"/>
      <w:bookmarkEnd w:id="13"/>
      <w:r>
        <w:rPr>
          <w:rFonts w:hint="eastAsia" w:ascii="仿宋" w:hAnsi="仿宋" w:eastAsia="仿宋"/>
          <w:b/>
          <w:bCs/>
          <w:sz w:val="24"/>
          <w:szCs w:val="24"/>
          <w:u w:val="single"/>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rPr>
      </w:pPr>
      <w:r>
        <w:rPr>
          <w:rFonts w:hint="eastAsia" w:ascii="仿宋" w:hAnsi="仿宋" w:eastAsia="仿宋"/>
          <w:kern w:val="0"/>
          <w:sz w:val="24"/>
          <w:szCs w:val="24"/>
        </w:rPr>
        <w:t>乙  方</w:t>
      </w:r>
      <w:r>
        <w:rPr>
          <w:rFonts w:hint="eastAsia" w:ascii="仿宋" w:hAnsi="仿宋" w:eastAsia="仿宋"/>
          <w:sz w:val="24"/>
          <w:szCs w:val="24"/>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                                               </w:t>
      </w:r>
    </w:p>
    <w:p>
      <w:pPr>
        <w:pageBreakBefore w:val="0"/>
        <w:widowControl/>
        <w:kinsoku/>
        <w:wordWrap/>
        <w:overflowPunct/>
        <w:topLinePunct w:val="0"/>
        <w:autoSpaceDE/>
        <w:autoSpaceDN/>
        <w:bidi w:val="0"/>
        <w:adjustRightInd/>
        <w:snapToGrid/>
        <w:spacing w:line="400" w:lineRule="exact"/>
        <w:textAlignment w:val="auto"/>
        <w:rPr>
          <w:rFonts w:hint="eastAsia" w:ascii="仿宋" w:hAnsi="仿宋" w:eastAsia="仿宋"/>
          <w:sz w:val="24"/>
          <w:szCs w:val="24"/>
          <w:u w:val="single"/>
        </w:rPr>
      </w:pPr>
      <w:r>
        <w:rPr>
          <w:rFonts w:hint="eastAsia" w:ascii="仿宋" w:hAnsi="仿宋" w:eastAsia="仿宋"/>
          <w:sz w:val="24"/>
          <w:szCs w:val="24"/>
        </w:rPr>
        <w:t xml:space="preserve">住  所：    </w:t>
      </w:r>
      <w:r>
        <w:rPr>
          <w:rFonts w:hint="eastAsia" w:ascii="仿宋" w:hAnsi="仿宋" w:eastAsia="仿宋"/>
          <w:sz w:val="24"/>
          <w:szCs w:val="24"/>
          <w:u w:val="single"/>
        </w:rPr>
        <w:t xml:space="preserve">        </w:t>
      </w:r>
    </w:p>
    <w:p>
      <w:pPr>
        <w:pStyle w:val="5"/>
        <w:pageBreakBefore w:val="0"/>
        <w:widowControl/>
        <w:kinsoku/>
        <w:wordWrap/>
        <w:overflowPunct/>
        <w:topLinePunct w:val="0"/>
        <w:autoSpaceDE/>
        <w:autoSpaceDN/>
        <w:bidi w:val="0"/>
        <w:adjustRightInd/>
        <w:snapToGrid/>
        <w:spacing w:line="400" w:lineRule="exact"/>
        <w:ind w:left="0" w:firstLine="0"/>
        <w:textAlignment w:val="auto"/>
        <w:rPr>
          <w:rFonts w:hint="eastAsia" w:ascii="仿宋" w:hAnsi="仿宋" w:eastAsia="仿宋"/>
          <w:b/>
          <w:bCs/>
          <w:sz w:val="24"/>
          <w:szCs w:val="24"/>
          <w:u w:val="single"/>
        </w:rPr>
      </w:pPr>
      <w:bookmarkStart w:id="14" w:name="_Toc145343939"/>
      <w:bookmarkStart w:id="15" w:name="_Toc145350960"/>
      <w:r>
        <w:rPr>
          <w:rFonts w:hint="eastAsia" w:ascii="仿宋" w:hAnsi="仿宋" w:eastAsia="仿宋"/>
          <w:b/>
          <w:bCs/>
          <w:sz w:val="24"/>
          <w:szCs w:val="24"/>
        </w:rPr>
        <w:t>法定代表人：</w:t>
      </w:r>
      <w:bookmarkEnd w:id="14"/>
      <w:bookmarkEnd w:id="15"/>
      <w:r>
        <w:rPr>
          <w:rFonts w:hint="eastAsia" w:ascii="仿宋" w:hAnsi="仿宋" w:eastAsia="仿宋"/>
          <w:b/>
          <w:bCs/>
          <w:sz w:val="24"/>
          <w:szCs w:val="24"/>
          <w:u w:val="single"/>
        </w:rPr>
        <w:t xml:space="preserve">         </w:t>
      </w:r>
    </w:p>
    <w:p>
      <w:pPr>
        <w:spacing w:line="480" w:lineRule="exact"/>
        <w:ind w:firstLine="480" w:firstLineChars="200"/>
        <w:rPr>
          <w:rFonts w:hint="eastAsia" w:ascii="仿宋" w:hAnsi="仿宋" w:eastAsia="仿宋"/>
          <w:sz w:val="24"/>
          <w:szCs w:val="24"/>
        </w:rPr>
      </w:pPr>
      <w:r>
        <w:rPr>
          <w:rFonts w:hint="eastAsia" w:ascii="仿宋" w:hAnsi="仿宋" w:eastAsia="仿宋"/>
          <w:sz w:val="24"/>
          <w:szCs w:val="24"/>
        </w:rPr>
        <w:t>根据《中华人民共和国民法典》及相关法律法规，为明确甲方与乙方的权利义务，经双方协商一致，甲方就</w:t>
      </w:r>
      <w:r>
        <w:rPr>
          <w:rFonts w:hint="eastAsia" w:ascii="仿宋" w:hAnsi="仿宋" w:eastAsia="仿宋"/>
          <w:sz w:val="24"/>
          <w:szCs w:val="24"/>
          <w:u w:val="single"/>
          <w:lang w:eastAsia="zh-CN"/>
        </w:rPr>
        <w:t>海南洋浦陆海国际贸易有限公司</w:t>
      </w:r>
      <w:r>
        <w:rPr>
          <w:rFonts w:hint="eastAsia" w:ascii="仿宋" w:hAnsi="仿宋" w:eastAsia="仿宋"/>
          <w:sz w:val="24"/>
          <w:szCs w:val="24"/>
        </w:rPr>
        <w:t>向乙方采购</w:t>
      </w:r>
      <w:r>
        <w:rPr>
          <w:rFonts w:hint="eastAsia" w:ascii="仿宋" w:hAnsi="仿宋" w:eastAsia="仿宋"/>
          <w:sz w:val="24"/>
          <w:szCs w:val="24"/>
          <w:u w:val="single"/>
        </w:rPr>
        <w:t>钢材</w:t>
      </w:r>
      <w:r>
        <w:rPr>
          <w:rFonts w:hint="eastAsia" w:ascii="仿宋" w:hAnsi="仿宋" w:eastAsia="仿宋"/>
          <w:sz w:val="24"/>
          <w:szCs w:val="24"/>
        </w:rPr>
        <w:t>事宜，签订本合同，双方共同遵守。</w:t>
      </w:r>
    </w:p>
    <w:p>
      <w:pPr>
        <w:widowControl w:val="0"/>
        <w:numPr>
          <w:ilvl w:val="0"/>
          <w:numId w:val="2"/>
        </w:numPr>
        <w:spacing w:after="0" w:line="480" w:lineRule="exact"/>
        <w:jc w:val="both"/>
        <w:rPr>
          <w:rFonts w:hint="eastAsia" w:ascii="仿宋" w:hAnsi="仿宋" w:eastAsia="仿宋"/>
          <w:color w:val="auto"/>
          <w:sz w:val="24"/>
          <w:szCs w:val="24"/>
        </w:rPr>
      </w:pPr>
      <w:r>
        <w:rPr>
          <w:rFonts w:hint="eastAsia" w:ascii="仿宋" w:hAnsi="仿宋" w:eastAsia="仿宋"/>
          <w:b/>
          <w:bCs/>
          <w:sz w:val="24"/>
          <w:szCs w:val="24"/>
        </w:rPr>
        <w:t>货物及数量</w:t>
      </w:r>
    </w:p>
    <w:p>
      <w:pPr>
        <w:widowControl w:val="0"/>
        <w:numPr>
          <w:ilvl w:val="1"/>
          <w:numId w:val="2"/>
        </w:numPr>
        <w:spacing w:after="0" w:line="480" w:lineRule="exact"/>
        <w:ind w:left="0" w:firstLine="0"/>
        <w:jc w:val="both"/>
        <w:rPr>
          <w:rFonts w:hint="eastAsia" w:ascii="仿宋" w:hAnsi="仿宋" w:eastAsia="仿宋"/>
          <w:sz w:val="24"/>
          <w:szCs w:val="24"/>
        </w:rPr>
      </w:pPr>
      <w:r>
        <w:rPr>
          <w:rFonts w:hint="eastAsia" w:ascii="仿宋" w:hAnsi="仿宋" w:eastAsia="仿宋"/>
          <w:sz w:val="24"/>
          <w:szCs w:val="24"/>
        </w:rPr>
        <w:t xml:space="preserve"> 货物的名称、数量、规格、生产厂家等详见下表。</w:t>
      </w:r>
    </w:p>
    <w:tbl>
      <w:tblPr>
        <w:tblStyle w:val="19"/>
        <w:tblW w:w="9154" w:type="dxa"/>
        <w:jc w:val="center"/>
        <w:tblLayout w:type="fixed"/>
        <w:tblCellMar>
          <w:top w:w="0" w:type="dxa"/>
          <w:left w:w="108" w:type="dxa"/>
          <w:bottom w:w="0" w:type="dxa"/>
          <w:right w:w="108" w:type="dxa"/>
        </w:tblCellMar>
      </w:tblPr>
      <w:tblGrid>
        <w:gridCol w:w="576"/>
        <w:gridCol w:w="1018"/>
        <w:gridCol w:w="1101"/>
        <w:gridCol w:w="561"/>
        <w:gridCol w:w="791"/>
        <w:gridCol w:w="929"/>
        <w:gridCol w:w="938"/>
        <w:gridCol w:w="947"/>
        <w:gridCol w:w="894"/>
        <w:gridCol w:w="1399"/>
      </w:tblGrid>
      <w:tr>
        <w:tblPrEx>
          <w:tblCellMar>
            <w:top w:w="0" w:type="dxa"/>
            <w:left w:w="108" w:type="dxa"/>
            <w:bottom w:w="0" w:type="dxa"/>
            <w:right w:w="108" w:type="dxa"/>
          </w:tblCellMar>
        </w:tblPrEx>
        <w:trPr>
          <w:trHeight w:val="440" w:hRule="atLeast"/>
          <w:jc w:val="center"/>
        </w:trPr>
        <w:tc>
          <w:tcPr>
            <w:tcW w:w="576" w:type="dxa"/>
            <w:tcBorders>
              <w:top w:val="single" w:color="000000" w:sz="4" w:space="0"/>
              <w:left w:val="single" w:color="000000" w:sz="4" w:space="0"/>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序号</w:t>
            </w:r>
          </w:p>
        </w:tc>
        <w:tc>
          <w:tcPr>
            <w:tcW w:w="1018" w:type="dxa"/>
            <w:tcBorders>
              <w:top w:val="single" w:color="000000" w:sz="4" w:space="0"/>
              <w:left w:val="nil"/>
              <w:bottom w:val="nil"/>
              <w:right w:val="single" w:color="auto"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名称</w:t>
            </w:r>
          </w:p>
        </w:tc>
        <w:tc>
          <w:tcPr>
            <w:tcW w:w="1101" w:type="dxa"/>
            <w:tcBorders>
              <w:top w:val="single" w:color="000000" w:sz="4" w:space="0"/>
              <w:left w:val="nil"/>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规格型号</w:t>
            </w:r>
          </w:p>
        </w:tc>
        <w:tc>
          <w:tcPr>
            <w:tcW w:w="561" w:type="dxa"/>
            <w:tcBorders>
              <w:top w:val="single" w:color="000000" w:sz="4" w:space="0"/>
              <w:left w:val="nil"/>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单位</w:t>
            </w:r>
          </w:p>
        </w:tc>
        <w:tc>
          <w:tcPr>
            <w:tcW w:w="791" w:type="dxa"/>
            <w:tcBorders>
              <w:top w:val="single" w:color="000000" w:sz="4" w:space="0"/>
              <w:left w:val="nil"/>
              <w:bottom w:val="nil"/>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暂定数量</w:t>
            </w:r>
          </w:p>
        </w:tc>
        <w:tc>
          <w:tcPr>
            <w:tcW w:w="92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不含税单价</w:t>
            </w:r>
          </w:p>
        </w:tc>
        <w:tc>
          <w:tcPr>
            <w:tcW w:w="938"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rPr>
            </w:pPr>
            <w:r>
              <w:rPr>
                <w:rFonts w:hint="eastAsia" w:ascii="仿宋" w:hAnsi="仿宋" w:eastAsia="仿宋" w:cs="仿宋"/>
                <w:kern w:val="0"/>
              </w:rPr>
              <w:t>不含税合价</w:t>
            </w:r>
          </w:p>
        </w:tc>
        <w:tc>
          <w:tcPr>
            <w:tcW w:w="947"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 xml:space="preserve">含税单价 </w:t>
            </w:r>
          </w:p>
        </w:tc>
        <w:tc>
          <w:tcPr>
            <w:tcW w:w="894"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含税合价</w:t>
            </w:r>
          </w:p>
        </w:tc>
        <w:tc>
          <w:tcPr>
            <w:tcW w:w="1399"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sz w:val="21"/>
                <w:szCs w:val="21"/>
              </w:rPr>
            </w:pPr>
            <w:r>
              <w:rPr>
                <w:rFonts w:hint="eastAsia" w:ascii="仿宋" w:hAnsi="仿宋" w:eastAsia="仿宋" w:cs="仿宋"/>
                <w:kern w:val="0"/>
              </w:rPr>
              <w:t>备注</w:t>
            </w:r>
          </w:p>
        </w:tc>
      </w:tr>
      <w:tr>
        <w:tblPrEx>
          <w:tblCellMar>
            <w:top w:w="0" w:type="dxa"/>
            <w:left w:w="108" w:type="dxa"/>
            <w:bottom w:w="0" w:type="dxa"/>
            <w:right w:w="108" w:type="dxa"/>
          </w:tblCellMar>
        </w:tblPrEx>
        <w:trPr>
          <w:trHeight w:val="430"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w:t>
            </w:r>
          </w:p>
        </w:tc>
        <w:tc>
          <w:tcPr>
            <w:tcW w:w="1018" w:type="dxa"/>
            <w:tcBorders>
              <w:top w:val="single" w:color="000000" w:sz="4" w:space="0"/>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高线</w:t>
            </w:r>
          </w:p>
        </w:tc>
        <w:tc>
          <w:tcPr>
            <w:tcW w:w="110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 xml:space="preserve">HPB300 </w:t>
            </w:r>
          </w:p>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Φ6</w:t>
            </w:r>
          </w:p>
        </w:tc>
        <w:tc>
          <w:tcPr>
            <w:tcW w:w="56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吨</w:t>
            </w:r>
          </w:p>
        </w:tc>
        <w:tc>
          <w:tcPr>
            <w:tcW w:w="79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222</w:t>
            </w:r>
          </w:p>
        </w:tc>
        <w:tc>
          <w:tcPr>
            <w:tcW w:w="929"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38"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7"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89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1399" w:type="dxa"/>
            <w:vMerge w:val="restart"/>
            <w:tcBorders>
              <w:top w:val="single" w:color="000000" w:sz="4" w:space="0"/>
              <w:left w:val="nil"/>
              <w:right w:val="single" w:color="000000" w:sz="4" w:space="0"/>
            </w:tcBorders>
            <w:noWrap/>
            <w:vAlign w:val="center"/>
          </w:tcPr>
          <w:p>
            <w:pPr>
              <w:widowControl w:val="0"/>
              <w:jc w:val="center"/>
              <w:rPr>
                <w:rFonts w:hint="default" w:ascii="仿宋" w:hAnsi="仿宋" w:eastAsia="仿宋" w:cs="仿宋"/>
                <w:sz w:val="21"/>
                <w:szCs w:val="21"/>
                <w:lang w:val="en-US" w:eastAsia="zh-CN"/>
              </w:rPr>
            </w:pPr>
            <w:r>
              <w:rPr>
                <w:rFonts w:hint="eastAsia" w:ascii="仿宋" w:hAnsi="仿宋" w:eastAsia="仿宋" w:cs="仿宋"/>
                <w:i w:val="0"/>
                <w:iCs w:val="0"/>
                <w:color w:val="000000"/>
                <w:kern w:val="0"/>
                <w:sz w:val="22"/>
                <w:szCs w:val="22"/>
                <w:u w:val="none"/>
                <w:lang w:val="en-US" w:eastAsia="zh-CN" w:bidi="ar"/>
              </w:rPr>
              <w:t>此清单钢材价格暂定以4100元/吨为基准</w:t>
            </w:r>
          </w:p>
        </w:tc>
      </w:tr>
      <w:tr>
        <w:tblPrEx>
          <w:tblCellMar>
            <w:top w:w="0" w:type="dxa"/>
            <w:left w:w="108" w:type="dxa"/>
            <w:bottom w:w="0" w:type="dxa"/>
            <w:right w:w="108" w:type="dxa"/>
          </w:tblCellMar>
        </w:tblPrEx>
        <w:trPr>
          <w:trHeight w:val="430"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w:t>
            </w:r>
          </w:p>
        </w:tc>
        <w:tc>
          <w:tcPr>
            <w:tcW w:w="1018" w:type="dxa"/>
            <w:tcBorders>
              <w:top w:val="single" w:color="000000" w:sz="4" w:space="0"/>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盘螺</w:t>
            </w:r>
          </w:p>
        </w:tc>
        <w:tc>
          <w:tcPr>
            <w:tcW w:w="110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HRB400E  Φ6</w:t>
            </w:r>
          </w:p>
        </w:tc>
        <w:tc>
          <w:tcPr>
            <w:tcW w:w="5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2"/>
                <w:szCs w:val="22"/>
                <w:u w:val="none"/>
                <w:lang w:val="en-US" w:eastAsia="zh-CN" w:bidi="ar"/>
              </w:rPr>
              <w:t>吨</w:t>
            </w:r>
          </w:p>
        </w:tc>
        <w:tc>
          <w:tcPr>
            <w:tcW w:w="79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w:t>
            </w:r>
          </w:p>
        </w:tc>
        <w:tc>
          <w:tcPr>
            <w:tcW w:w="929"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38"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7"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89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1399" w:type="dxa"/>
            <w:vMerge w:val="continue"/>
            <w:tcBorders>
              <w:left w:val="nil"/>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30"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w:t>
            </w:r>
          </w:p>
        </w:tc>
        <w:tc>
          <w:tcPr>
            <w:tcW w:w="1018" w:type="dxa"/>
            <w:tcBorders>
              <w:top w:val="single" w:color="000000" w:sz="4" w:space="0"/>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盘螺</w:t>
            </w:r>
          </w:p>
        </w:tc>
        <w:tc>
          <w:tcPr>
            <w:tcW w:w="110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HRB400E  Φ8</w:t>
            </w:r>
          </w:p>
        </w:tc>
        <w:tc>
          <w:tcPr>
            <w:tcW w:w="5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2"/>
                <w:szCs w:val="22"/>
                <w:u w:val="none"/>
                <w:lang w:val="en-US" w:eastAsia="zh-CN" w:bidi="ar"/>
              </w:rPr>
              <w:t>吨</w:t>
            </w:r>
          </w:p>
        </w:tc>
        <w:tc>
          <w:tcPr>
            <w:tcW w:w="79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1054</w:t>
            </w:r>
          </w:p>
        </w:tc>
        <w:tc>
          <w:tcPr>
            <w:tcW w:w="929"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38"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7"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89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1399" w:type="dxa"/>
            <w:vMerge w:val="continue"/>
            <w:tcBorders>
              <w:left w:val="nil"/>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30"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4</w:t>
            </w:r>
          </w:p>
        </w:tc>
        <w:tc>
          <w:tcPr>
            <w:tcW w:w="1018" w:type="dxa"/>
            <w:tcBorders>
              <w:top w:val="single" w:color="000000" w:sz="4" w:space="0"/>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盘螺</w:t>
            </w:r>
          </w:p>
        </w:tc>
        <w:tc>
          <w:tcPr>
            <w:tcW w:w="110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HRB400E  Φ10</w:t>
            </w:r>
          </w:p>
        </w:tc>
        <w:tc>
          <w:tcPr>
            <w:tcW w:w="5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2"/>
                <w:szCs w:val="22"/>
                <w:u w:val="none"/>
                <w:lang w:val="en-US" w:eastAsia="zh-CN" w:bidi="ar"/>
              </w:rPr>
              <w:t>吨</w:t>
            </w:r>
          </w:p>
        </w:tc>
        <w:tc>
          <w:tcPr>
            <w:tcW w:w="79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205</w:t>
            </w:r>
          </w:p>
        </w:tc>
        <w:tc>
          <w:tcPr>
            <w:tcW w:w="929"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38"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7"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89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1399" w:type="dxa"/>
            <w:vMerge w:val="continue"/>
            <w:tcBorders>
              <w:left w:val="nil"/>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30"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w:t>
            </w:r>
          </w:p>
        </w:tc>
        <w:tc>
          <w:tcPr>
            <w:tcW w:w="1018" w:type="dxa"/>
            <w:tcBorders>
              <w:top w:val="single" w:color="000000" w:sz="4" w:space="0"/>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螺纹钢</w:t>
            </w:r>
          </w:p>
        </w:tc>
        <w:tc>
          <w:tcPr>
            <w:tcW w:w="110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HRB400E  Φ12</w:t>
            </w:r>
          </w:p>
        </w:tc>
        <w:tc>
          <w:tcPr>
            <w:tcW w:w="5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2"/>
                <w:szCs w:val="22"/>
                <w:u w:val="none"/>
                <w:lang w:val="en-US" w:eastAsia="zh-CN" w:bidi="ar"/>
              </w:rPr>
              <w:t>吨</w:t>
            </w:r>
          </w:p>
        </w:tc>
        <w:tc>
          <w:tcPr>
            <w:tcW w:w="79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82</w:t>
            </w:r>
          </w:p>
        </w:tc>
        <w:tc>
          <w:tcPr>
            <w:tcW w:w="929"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38"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7"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89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1399" w:type="dxa"/>
            <w:vMerge w:val="continue"/>
            <w:tcBorders>
              <w:left w:val="nil"/>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30"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w:t>
            </w:r>
          </w:p>
        </w:tc>
        <w:tc>
          <w:tcPr>
            <w:tcW w:w="1018" w:type="dxa"/>
            <w:tcBorders>
              <w:top w:val="single" w:color="000000" w:sz="4" w:space="0"/>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螺纹钢</w:t>
            </w:r>
          </w:p>
        </w:tc>
        <w:tc>
          <w:tcPr>
            <w:tcW w:w="110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HRB400E  Φ16</w:t>
            </w:r>
          </w:p>
        </w:tc>
        <w:tc>
          <w:tcPr>
            <w:tcW w:w="5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2"/>
                <w:szCs w:val="22"/>
                <w:u w:val="none"/>
                <w:lang w:val="en-US" w:eastAsia="zh-CN" w:bidi="ar"/>
              </w:rPr>
              <w:t>吨</w:t>
            </w:r>
          </w:p>
        </w:tc>
        <w:tc>
          <w:tcPr>
            <w:tcW w:w="79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90</w:t>
            </w:r>
          </w:p>
        </w:tc>
        <w:tc>
          <w:tcPr>
            <w:tcW w:w="929"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38"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7"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89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1399" w:type="dxa"/>
            <w:vMerge w:val="continue"/>
            <w:tcBorders>
              <w:left w:val="nil"/>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30"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7</w:t>
            </w:r>
          </w:p>
        </w:tc>
        <w:tc>
          <w:tcPr>
            <w:tcW w:w="1018" w:type="dxa"/>
            <w:tcBorders>
              <w:top w:val="single" w:color="000000" w:sz="4" w:space="0"/>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螺纹钢</w:t>
            </w:r>
          </w:p>
        </w:tc>
        <w:tc>
          <w:tcPr>
            <w:tcW w:w="110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HRB400E  Φ14</w:t>
            </w:r>
          </w:p>
        </w:tc>
        <w:tc>
          <w:tcPr>
            <w:tcW w:w="5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2"/>
                <w:szCs w:val="22"/>
                <w:u w:val="none"/>
                <w:lang w:val="en-US" w:eastAsia="zh-CN" w:bidi="ar"/>
              </w:rPr>
              <w:t>吨</w:t>
            </w:r>
          </w:p>
        </w:tc>
        <w:tc>
          <w:tcPr>
            <w:tcW w:w="79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66</w:t>
            </w:r>
          </w:p>
        </w:tc>
        <w:tc>
          <w:tcPr>
            <w:tcW w:w="929"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38"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7"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89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1399" w:type="dxa"/>
            <w:vMerge w:val="continue"/>
            <w:tcBorders>
              <w:left w:val="nil"/>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30"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8</w:t>
            </w:r>
          </w:p>
        </w:tc>
        <w:tc>
          <w:tcPr>
            <w:tcW w:w="1018" w:type="dxa"/>
            <w:tcBorders>
              <w:top w:val="single" w:color="000000" w:sz="4" w:space="0"/>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螺纹钢</w:t>
            </w:r>
          </w:p>
        </w:tc>
        <w:tc>
          <w:tcPr>
            <w:tcW w:w="110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HRB400E  Φ18</w:t>
            </w:r>
          </w:p>
        </w:tc>
        <w:tc>
          <w:tcPr>
            <w:tcW w:w="5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2"/>
                <w:szCs w:val="22"/>
                <w:u w:val="none"/>
                <w:lang w:val="en-US" w:eastAsia="zh-CN" w:bidi="ar"/>
              </w:rPr>
              <w:t>吨</w:t>
            </w:r>
          </w:p>
        </w:tc>
        <w:tc>
          <w:tcPr>
            <w:tcW w:w="79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102</w:t>
            </w:r>
          </w:p>
        </w:tc>
        <w:tc>
          <w:tcPr>
            <w:tcW w:w="929"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38"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7"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89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1399" w:type="dxa"/>
            <w:vMerge w:val="continue"/>
            <w:tcBorders>
              <w:left w:val="nil"/>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30"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9</w:t>
            </w:r>
          </w:p>
        </w:tc>
        <w:tc>
          <w:tcPr>
            <w:tcW w:w="1018" w:type="dxa"/>
            <w:tcBorders>
              <w:top w:val="single" w:color="000000" w:sz="4" w:space="0"/>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螺纹钢</w:t>
            </w:r>
          </w:p>
        </w:tc>
        <w:tc>
          <w:tcPr>
            <w:tcW w:w="110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HRB400E  Φ20</w:t>
            </w:r>
          </w:p>
        </w:tc>
        <w:tc>
          <w:tcPr>
            <w:tcW w:w="5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2"/>
                <w:szCs w:val="22"/>
                <w:u w:val="none"/>
                <w:lang w:val="en-US" w:eastAsia="zh-CN" w:bidi="ar"/>
              </w:rPr>
              <w:t>吨</w:t>
            </w:r>
          </w:p>
        </w:tc>
        <w:tc>
          <w:tcPr>
            <w:tcW w:w="79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112</w:t>
            </w:r>
          </w:p>
        </w:tc>
        <w:tc>
          <w:tcPr>
            <w:tcW w:w="929"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38"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7"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89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1399" w:type="dxa"/>
            <w:vMerge w:val="continue"/>
            <w:tcBorders>
              <w:left w:val="nil"/>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30"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10</w:t>
            </w:r>
          </w:p>
        </w:tc>
        <w:tc>
          <w:tcPr>
            <w:tcW w:w="1018" w:type="dxa"/>
            <w:tcBorders>
              <w:top w:val="single" w:color="000000" w:sz="4" w:space="0"/>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螺纹钢</w:t>
            </w:r>
          </w:p>
        </w:tc>
        <w:tc>
          <w:tcPr>
            <w:tcW w:w="110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HRB400E  Φ22</w:t>
            </w:r>
          </w:p>
        </w:tc>
        <w:tc>
          <w:tcPr>
            <w:tcW w:w="5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2"/>
                <w:szCs w:val="22"/>
                <w:u w:val="none"/>
                <w:lang w:val="en-US" w:eastAsia="zh-CN" w:bidi="ar"/>
              </w:rPr>
              <w:t>吨</w:t>
            </w:r>
          </w:p>
        </w:tc>
        <w:tc>
          <w:tcPr>
            <w:tcW w:w="79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57</w:t>
            </w:r>
          </w:p>
        </w:tc>
        <w:tc>
          <w:tcPr>
            <w:tcW w:w="929"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38"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7"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89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1399" w:type="dxa"/>
            <w:vMerge w:val="continue"/>
            <w:tcBorders>
              <w:left w:val="nil"/>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30"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11</w:t>
            </w:r>
          </w:p>
        </w:tc>
        <w:tc>
          <w:tcPr>
            <w:tcW w:w="1018" w:type="dxa"/>
            <w:tcBorders>
              <w:top w:val="single" w:color="000000" w:sz="4" w:space="0"/>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螺纹钢</w:t>
            </w:r>
          </w:p>
        </w:tc>
        <w:tc>
          <w:tcPr>
            <w:tcW w:w="110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HRB400E  Φ25</w:t>
            </w:r>
          </w:p>
        </w:tc>
        <w:tc>
          <w:tcPr>
            <w:tcW w:w="5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吨</w:t>
            </w:r>
          </w:p>
        </w:tc>
        <w:tc>
          <w:tcPr>
            <w:tcW w:w="79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140</w:t>
            </w:r>
          </w:p>
        </w:tc>
        <w:tc>
          <w:tcPr>
            <w:tcW w:w="929"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38"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7"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89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1399" w:type="dxa"/>
            <w:vMerge w:val="continue"/>
            <w:tcBorders>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30"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12</w:t>
            </w:r>
          </w:p>
        </w:tc>
        <w:tc>
          <w:tcPr>
            <w:tcW w:w="1018" w:type="dxa"/>
            <w:tcBorders>
              <w:top w:val="single" w:color="000000" w:sz="4" w:space="0"/>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螺纹钢</w:t>
            </w:r>
          </w:p>
        </w:tc>
        <w:tc>
          <w:tcPr>
            <w:tcW w:w="110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HRB400E  Φ28</w:t>
            </w:r>
          </w:p>
        </w:tc>
        <w:tc>
          <w:tcPr>
            <w:tcW w:w="5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default"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吨</w:t>
            </w:r>
          </w:p>
        </w:tc>
        <w:tc>
          <w:tcPr>
            <w:tcW w:w="79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16</w:t>
            </w:r>
          </w:p>
        </w:tc>
        <w:tc>
          <w:tcPr>
            <w:tcW w:w="929"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38"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7"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89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1399" w:type="dxa"/>
            <w:vMerge w:val="continue"/>
            <w:tcBorders>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430"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13</w:t>
            </w:r>
          </w:p>
        </w:tc>
        <w:tc>
          <w:tcPr>
            <w:tcW w:w="1018" w:type="dxa"/>
            <w:tcBorders>
              <w:top w:val="single" w:color="000000" w:sz="4" w:space="0"/>
              <w:left w:val="nil"/>
              <w:bottom w:val="single" w:color="000000" w:sz="4" w:space="0"/>
              <w:right w:val="single" w:color="auto"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螺纹钢</w:t>
            </w:r>
          </w:p>
        </w:tc>
        <w:tc>
          <w:tcPr>
            <w:tcW w:w="1101"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HRB400E  Φ32</w:t>
            </w:r>
          </w:p>
        </w:tc>
        <w:tc>
          <w:tcPr>
            <w:tcW w:w="561" w:type="dxa"/>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i w:val="0"/>
                <w:iCs w:val="0"/>
                <w:color w:val="000000"/>
                <w:kern w:val="0"/>
                <w:sz w:val="22"/>
                <w:szCs w:val="22"/>
                <w:u w:val="none"/>
                <w:lang w:val="en-US" w:eastAsia="zh-CN" w:bidi="ar"/>
              </w:rPr>
              <w:t>吨</w:t>
            </w:r>
          </w:p>
        </w:tc>
        <w:tc>
          <w:tcPr>
            <w:tcW w:w="791"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仿宋" w:hAnsi="仿宋" w:eastAsia="仿宋" w:cs="仿宋"/>
                <w:i w:val="0"/>
                <w:iCs w:val="0"/>
                <w:color w:val="000000"/>
                <w:kern w:val="0"/>
                <w:sz w:val="22"/>
                <w:szCs w:val="22"/>
                <w:u w:val="none"/>
                <w:lang w:val="en-US" w:eastAsia="zh-CN" w:bidi="ar"/>
              </w:rPr>
              <w:t>32</w:t>
            </w:r>
          </w:p>
        </w:tc>
        <w:tc>
          <w:tcPr>
            <w:tcW w:w="929"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38"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highlight w:val="yellow"/>
              </w:rPr>
            </w:pPr>
          </w:p>
        </w:tc>
        <w:tc>
          <w:tcPr>
            <w:tcW w:w="947"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89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1399" w:type="dxa"/>
            <w:vMerge w:val="continue"/>
            <w:tcBorders>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47" w:hRule="atLeast"/>
          <w:jc w:val="center"/>
        </w:trPr>
        <w:tc>
          <w:tcPr>
            <w:tcW w:w="57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p>
        </w:tc>
        <w:tc>
          <w:tcPr>
            <w:tcW w:w="3471" w:type="dxa"/>
            <w:gridSpan w:val="4"/>
            <w:tcBorders>
              <w:top w:val="single" w:color="000000" w:sz="4" w:space="0"/>
              <w:left w:val="nil"/>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kern w:val="0"/>
              </w:rPr>
              <w:t>合计</w:t>
            </w:r>
          </w:p>
        </w:tc>
        <w:tc>
          <w:tcPr>
            <w:tcW w:w="929"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38"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947"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kern w:val="0"/>
                <w:sz w:val="21"/>
                <w:szCs w:val="21"/>
              </w:rPr>
            </w:pPr>
          </w:p>
        </w:tc>
        <w:tc>
          <w:tcPr>
            <w:tcW w:w="894" w:type="dxa"/>
            <w:tcBorders>
              <w:top w:val="single" w:color="000000" w:sz="4" w:space="0"/>
              <w:left w:val="nil"/>
              <w:bottom w:val="single" w:color="000000" w:sz="4" w:space="0"/>
              <w:right w:val="single" w:color="000000" w:sz="4" w:space="0"/>
            </w:tcBorders>
            <w:noWrap/>
            <w:vAlign w:val="center"/>
          </w:tcPr>
          <w:p>
            <w:pPr>
              <w:jc w:val="center"/>
              <w:textAlignment w:val="center"/>
              <w:rPr>
                <w:rFonts w:hint="eastAsia" w:ascii="仿宋" w:hAnsi="仿宋" w:eastAsia="仿宋" w:cs="仿宋"/>
                <w:sz w:val="21"/>
                <w:szCs w:val="21"/>
              </w:rPr>
            </w:pPr>
          </w:p>
        </w:tc>
        <w:tc>
          <w:tcPr>
            <w:tcW w:w="1399" w:type="dxa"/>
            <w:tcBorders>
              <w:top w:val="single" w:color="000000" w:sz="4" w:space="0"/>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rPr>
            </w:pPr>
          </w:p>
        </w:tc>
      </w:tr>
      <w:tr>
        <w:tblPrEx>
          <w:tblCellMar>
            <w:top w:w="0" w:type="dxa"/>
            <w:left w:w="108" w:type="dxa"/>
            <w:bottom w:w="0" w:type="dxa"/>
            <w:right w:w="108" w:type="dxa"/>
          </w:tblCellMar>
        </w:tblPrEx>
        <w:trPr>
          <w:trHeight w:val="347" w:hRule="atLeast"/>
          <w:jc w:val="center"/>
        </w:trPr>
        <w:tc>
          <w:tcPr>
            <w:tcW w:w="3256"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仿宋" w:hAnsi="仿宋" w:eastAsia="仿宋" w:cs="仿宋"/>
                <w:kern w:val="0"/>
                <w:sz w:val="21"/>
                <w:szCs w:val="21"/>
              </w:rPr>
            </w:pPr>
            <w:r>
              <w:rPr>
                <w:rFonts w:hint="eastAsia" w:ascii="仿宋" w:hAnsi="仿宋" w:eastAsia="仿宋" w:cs="仿宋"/>
                <w:kern w:val="0"/>
              </w:rPr>
              <w:t>提供增值税专用发票税率</w:t>
            </w:r>
          </w:p>
        </w:tc>
        <w:tc>
          <w:tcPr>
            <w:tcW w:w="5898" w:type="dxa"/>
            <w:gridSpan w:val="6"/>
            <w:tcBorders>
              <w:top w:val="single" w:color="000000" w:sz="4" w:space="0"/>
              <w:left w:val="nil"/>
              <w:bottom w:val="single" w:color="000000" w:sz="4" w:space="0"/>
              <w:right w:val="single" w:color="000000" w:sz="4" w:space="0"/>
            </w:tcBorders>
            <w:noWrap/>
            <w:vAlign w:val="center"/>
          </w:tcPr>
          <w:p>
            <w:pPr>
              <w:widowControl w:val="0"/>
              <w:jc w:val="center"/>
              <w:rPr>
                <w:rFonts w:hint="eastAsia" w:ascii="仿宋" w:hAnsi="仿宋" w:eastAsia="仿宋" w:cs="仿宋"/>
                <w:sz w:val="21"/>
                <w:szCs w:val="21"/>
              </w:rPr>
            </w:pPr>
            <w:r>
              <w:rPr>
                <w:rFonts w:hint="eastAsia" w:ascii="仿宋" w:hAnsi="仿宋" w:eastAsia="仿宋" w:cs="仿宋"/>
              </w:rPr>
              <w:t>13%</w:t>
            </w:r>
          </w:p>
        </w:tc>
      </w:tr>
      <w:tr>
        <w:tblPrEx>
          <w:tblCellMar>
            <w:top w:w="0" w:type="dxa"/>
            <w:left w:w="108" w:type="dxa"/>
            <w:bottom w:w="0" w:type="dxa"/>
            <w:right w:w="108" w:type="dxa"/>
          </w:tblCellMar>
        </w:tblPrEx>
        <w:trPr>
          <w:trHeight w:val="651" w:hRule="atLeast"/>
          <w:jc w:val="center"/>
        </w:trPr>
        <w:tc>
          <w:tcPr>
            <w:tcW w:w="9154"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val="0"/>
              <w:numPr>
                <w:ilvl w:val="0"/>
                <w:numId w:val="0"/>
              </w:numPr>
              <w:rPr>
                <w:rFonts w:hint="eastAsia" w:ascii="仿宋" w:hAnsi="仿宋" w:eastAsia="仿宋" w:cs="仿宋"/>
                <w:color w:val="auto"/>
              </w:rPr>
            </w:pPr>
            <w:r>
              <w:rPr>
                <w:rFonts w:hint="eastAsia" w:ascii="仿宋" w:hAnsi="仿宋" w:eastAsia="仿宋" w:cs="仿宋"/>
              </w:rPr>
              <w:t>本表价格为暂定价格，本表数量及价款为暂定，不作为办理结算的依据，双方以本合同约定的浮动单价其他相关条款执行，数量按甲方下达计划且以到场实际合格数量为准进行结算。乙方不得以本表价款与甲方发生任何经济与法律纠纷，否则视为乙方违约。</w:t>
            </w:r>
          </w:p>
        </w:tc>
      </w:tr>
    </w:tbl>
    <w:p>
      <w:pPr>
        <w:spacing w:line="560" w:lineRule="exact"/>
        <w:rPr>
          <w:rFonts w:hint="eastAsia" w:ascii="仿宋" w:hAnsi="仿宋" w:eastAsia="仿宋"/>
          <w:sz w:val="24"/>
          <w:szCs w:val="24"/>
        </w:rPr>
      </w:pPr>
      <w:r>
        <w:rPr>
          <w:rFonts w:hint="eastAsia" w:ascii="仿宋" w:hAnsi="仿宋" w:eastAsia="仿宋"/>
          <w:sz w:val="24"/>
          <w:szCs w:val="24"/>
        </w:rPr>
        <w:t xml:space="preserve"> 注：表中单价为暂定单价，</w:t>
      </w:r>
      <w:r>
        <w:rPr>
          <w:rFonts w:hint="eastAsia" w:ascii="仿宋" w:hAnsi="仿宋" w:eastAsia="仿宋"/>
          <w:b/>
          <w:bCs/>
          <w:sz w:val="24"/>
          <w:szCs w:val="24"/>
        </w:rPr>
        <w:t>钢材结算实行浮动价</w:t>
      </w:r>
      <w:r>
        <w:rPr>
          <w:rFonts w:hint="eastAsia" w:ascii="仿宋" w:hAnsi="仿宋" w:eastAsia="仿宋"/>
          <w:sz w:val="24"/>
          <w:szCs w:val="24"/>
        </w:rPr>
        <w:t>，结算单价（简称“A2”）=结算基准价(B2)+浮动价(N)</w:t>
      </w:r>
    </w:p>
    <w:p>
      <w:pPr>
        <w:spacing w:line="560" w:lineRule="exact"/>
        <w:rPr>
          <w:rFonts w:hint="eastAsia" w:ascii="仿宋" w:hAnsi="仿宋" w:eastAsia="仿宋"/>
          <w:sz w:val="24"/>
          <w:szCs w:val="24"/>
        </w:rPr>
      </w:pPr>
      <w:r>
        <w:rPr>
          <w:rFonts w:hint="eastAsia" w:ascii="仿宋" w:hAnsi="仿宋" w:eastAsia="仿宋"/>
          <w:sz w:val="24"/>
          <w:szCs w:val="24"/>
        </w:rPr>
        <w:t>（1）结算基准单价(B2)：高线、盘螺、螺纹钢以供应周期内到货当日“我的钢铁网”首次公布的“海口市场建筑钢材价格行情”中对应品牌对应材质、规格的网价作为结算基准价；遇节假日时，参照节假日前一天网价。</w:t>
      </w:r>
    </w:p>
    <w:p>
      <w:pPr>
        <w:spacing w:line="560" w:lineRule="exact"/>
        <w:rPr>
          <w:rFonts w:hint="eastAsia" w:ascii="仿宋" w:hAnsi="仿宋" w:eastAsia="仿宋"/>
          <w:sz w:val="24"/>
          <w:szCs w:val="24"/>
        </w:rPr>
      </w:pPr>
      <w:r>
        <w:rPr>
          <w:rFonts w:hint="eastAsia" w:ascii="仿宋" w:hAnsi="仿宋" w:eastAsia="仿宋"/>
          <w:sz w:val="24"/>
          <w:szCs w:val="24"/>
        </w:rPr>
        <w:t>（2）浮动价(N)：由供应商根据本单位情况综合考虑在基准价的基础上进行下浮的价格，包括但不限于运费、杂费、税费、利润、装卸车费、搬运费等，由中标人在投标报价时报出，全部供应期内浮动价固定不变。</w:t>
      </w:r>
    </w:p>
    <w:p>
      <w:pPr>
        <w:spacing w:line="560" w:lineRule="exact"/>
        <w:rPr>
          <w:rFonts w:hint="eastAsia" w:ascii="仿宋" w:hAnsi="仿宋" w:eastAsia="仿宋"/>
          <w:sz w:val="24"/>
          <w:szCs w:val="24"/>
        </w:rPr>
      </w:pPr>
      <w:r>
        <w:rPr>
          <w:rFonts w:hint="eastAsia" w:ascii="仿宋" w:hAnsi="仿宋" w:eastAsia="仿宋"/>
          <w:sz w:val="24"/>
          <w:szCs w:val="24"/>
        </w:rPr>
        <w:t>a. 如我的钢铁网（www.mysteel.com）当天有多个报价时，以首次报价为准；</w:t>
      </w:r>
    </w:p>
    <w:p>
      <w:pPr>
        <w:spacing w:line="560" w:lineRule="exact"/>
        <w:rPr>
          <w:rFonts w:hint="eastAsia" w:ascii="仿宋" w:hAnsi="仿宋" w:eastAsia="仿宋"/>
          <w:sz w:val="24"/>
          <w:szCs w:val="24"/>
        </w:rPr>
      </w:pPr>
      <w:r>
        <w:rPr>
          <w:rFonts w:hint="eastAsia" w:ascii="仿宋" w:hAnsi="仿宋" w:eastAsia="仿宋"/>
          <w:sz w:val="24"/>
          <w:szCs w:val="24"/>
        </w:rPr>
        <w:t>b.若当日网上没有发布对应材质、规格的网价则按照同种规格及材质当日首次公布的桂万钢品牌网价作为结算基准价；若当日网上既没有发布所供品牌对应材质、规格的网价也没有同种规格其他品牌的网价，则按照当日首次公布的所供应品牌最接近小规格的网价，没有最接近小规格的网价则参照最接近大规格的网价作为结算基准价。</w:t>
      </w:r>
    </w:p>
    <w:p>
      <w:pPr>
        <w:spacing w:line="56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c.供应时新增规格无公布网价时，其供应周期结算基准价参照最接近小规格基准价，没有最接近小规格的则参照最接近大规格确定。</w:t>
      </w:r>
    </w:p>
    <w:p>
      <w:pPr>
        <w:spacing w:line="560" w:lineRule="exact"/>
        <w:rPr>
          <w:rFonts w:hint="eastAsia" w:ascii="仿宋" w:hAnsi="仿宋" w:eastAsia="仿宋"/>
          <w:sz w:val="24"/>
          <w:szCs w:val="24"/>
        </w:rPr>
      </w:pPr>
      <w:r>
        <w:rPr>
          <w:rFonts w:hint="eastAsia" w:ascii="仿宋" w:hAnsi="仿宋" w:eastAsia="仿宋" w:cs="Times New Roman"/>
          <w:sz w:val="24"/>
          <w:szCs w:val="24"/>
          <w:lang w:val="en-US" w:eastAsia="zh-CN"/>
        </w:rPr>
        <w:t xml:space="preserve">1.2 </w:t>
      </w:r>
      <w:r>
        <w:rPr>
          <w:rFonts w:hint="eastAsia" w:ascii="仿宋" w:hAnsi="仿宋" w:eastAsia="仿宋"/>
          <w:sz w:val="24"/>
          <w:szCs w:val="24"/>
        </w:rPr>
        <w:t>以上数量为暂估数量，暂定总价款（含税）为：</w:t>
      </w:r>
      <w:r>
        <w:rPr>
          <w:rFonts w:hint="eastAsia" w:ascii="仿宋" w:hAnsi="仿宋" w:eastAsia="仿宋"/>
          <w:sz w:val="24"/>
          <w:szCs w:val="24"/>
          <w:u w:val="single"/>
        </w:rPr>
        <w:t xml:space="preserve">  </w:t>
      </w:r>
      <w:r>
        <w:rPr>
          <w:rFonts w:hint="eastAsia" w:ascii="仿宋" w:hAnsi="仿宋" w:eastAsia="仿宋"/>
          <w:sz w:val="24"/>
          <w:szCs w:val="24"/>
        </w:rPr>
        <w:t>元，金额大写：</w:t>
      </w:r>
      <w:r>
        <w:rPr>
          <w:rFonts w:hint="eastAsia" w:ascii="仿宋" w:hAnsi="仿宋" w:eastAsia="仿宋"/>
          <w:sz w:val="24"/>
          <w:szCs w:val="24"/>
          <w:u w:val="single"/>
        </w:rPr>
        <w:t xml:space="preserve">    </w:t>
      </w:r>
      <w:r>
        <w:rPr>
          <w:rFonts w:hint="eastAsia" w:ascii="仿宋" w:hAnsi="仿宋" w:eastAsia="仿宋"/>
          <w:sz w:val="24"/>
          <w:szCs w:val="24"/>
        </w:rPr>
        <w:t>；其中，不含税价款为：</w:t>
      </w:r>
      <w:r>
        <w:rPr>
          <w:rFonts w:hint="eastAsia" w:ascii="仿宋" w:hAnsi="仿宋" w:eastAsia="仿宋"/>
          <w:sz w:val="24"/>
          <w:szCs w:val="24"/>
          <w:u w:val="single"/>
        </w:rPr>
        <w:t xml:space="preserve">  </w:t>
      </w:r>
      <w:r>
        <w:rPr>
          <w:rFonts w:hint="eastAsia" w:ascii="仿宋" w:hAnsi="仿宋" w:eastAsia="仿宋"/>
          <w:sz w:val="24"/>
          <w:szCs w:val="24"/>
        </w:rPr>
        <w:t xml:space="preserve">元，税金为： </w:t>
      </w:r>
      <w:r>
        <w:rPr>
          <w:rFonts w:hint="eastAsia" w:ascii="仿宋" w:hAnsi="仿宋" w:eastAsia="仿宋"/>
          <w:sz w:val="24"/>
          <w:szCs w:val="24"/>
          <w:u w:val="single"/>
        </w:rPr>
        <w:t xml:space="preserve">  </w:t>
      </w:r>
      <w:r>
        <w:rPr>
          <w:rFonts w:hint="eastAsia" w:ascii="仿宋" w:hAnsi="仿宋" w:eastAsia="仿宋"/>
          <w:sz w:val="24"/>
          <w:szCs w:val="24"/>
        </w:rPr>
        <w:t>元，税率为：13%。供货数量、时间和地点以甲方书面计划为准，结算数量为甲方实收合格数量，甲方有权对合同中的数量和交货时间做调整，乙方不得有异议，当乙方供货量达不到以上暂估数量时，乙方不得以供货数量不足作为索赔的理由。</w:t>
      </w:r>
    </w:p>
    <w:p>
      <w:pPr>
        <w:widowControl w:val="0"/>
        <w:numPr>
          <w:ilvl w:val="1"/>
          <w:numId w:val="2"/>
        </w:numPr>
        <w:spacing w:after="0" w:line="560" w:lineRule="exact"/>
        <w:ind w:left="0" w:firstLine="0"/>
        <w:jc w:val="both"/>
        <w:rPr>
          <w:rFonts w:ascii="仿宋" w:hAnsi="仿宋" w:eastAsia="仿宋"/>
          <w:sz w:val="24"/>
          <w:szCs w:val="24"/>
        </w:rPr>
      </w:pPr>
      <w:r>
        <w:rPr>
          <w:rFonts w:hint="eastAsia" w:ascii="仿宋" w:hAnsi="仿宋" w:eastAsia="仿宋"/>
          <w:sz w:val="24"/>
          <w:szCs w:val="24"/>
        </w:rPr>
        <w:t xml:space="preserve"> </w:t>
      </w:r>
      <w:bookmarkStart w:id="16" w:name="_Hlk145019421"/>
      <w:r>
        <w:rPr>
          <w:rFonts w:hint="eastAsia" w:ascii="仿宋" w:hAnsi="仿宋" w:eastAsia="仿宋"/>
          <w:sz w:val="24"/>
          <w:szCs w:val="24"/>
        </w:rPr>
        <w:t>合同结算单价、合同暂估总金额以及最终结算总价都已包括货物价款、供应商出售该物资应缴纳税金及一切税费、包装费、保险费、运输费、装卸费，</w:t>
      </w:r>
      <w:r>
        <w:rPr>
          <w:rFonts w:hint="eastAsia" w:ascii="仿宋" w:hAnsi="仿宋" w:eastAsia="仿宋"/>
          <w:sz w:val="24"/>
          <w:szCs w:val="24"/>
          <w:lang w:val="en-US" w:eastAsia="zh-CN"/>
        </w:rPr>
        <w:t>搬运费</w:t>
      </w:r>
      <w:r>
        <w:rPr>
          <w:rFonts w:hint="eastAsia" w:ascii="仿宋" w:hAnsi="仿宋" w:eastAsia="仿宋"/>
          <w:sz w:val="24"/>
          <w:szCs w:val="24"/>
        </w:rPr>
        <w:t>以及其他运抵至甲方指定交货地点的一切费用，包括售后服务以及市场价格涨幅等的各类风险费用，以及其他所有相关服务费用。</w:t>
      </w:r>
      <w:bookmarkEnd w:id="16"/>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甲方收取本合同履约保证金</w:t>
      </w:r>
      <w:r>
        <w:rPr>
          <w:rFonts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ascii="仿宋" w:hAnsi="仿宋" w:eastAsia="仿宋"/>
          <w:sz w:val="24"/>
          <w:szCs w:val="24"/>
          <w:u w:val="single"/>
        </w:rPr>
        <w:t xml:space="preserve"> </w:t>
      </w:r>
      <w:r>
        <w:rPr>
          <w:rFonts w:hint="eastAsia" w:ascii="仿宋" w:hAnsi="仿宋" w:eastAsia="仿宋"/>
          <w:sz w:val="24"/>
          <w:szCs w:val="24"/>
        </w:rPr>
        <w:t>万元（大写：</w:t>
      </w:r>
      <w:r>
        <w:rPr>
          <w:rFonts w:ascii="仿宋" w:hAnsi="仿宋" w:eastAsia="仿宋"/>
          <w:sz w:val="24"/>
          <w:szCs w:val="24"/>
          <w:u w:val="single"/>
        </w:rPr>
        <w:t xml:space="preserve">  </w:t>
      </w:r>
      <w:r>
        <w:rPr>
          <w:rFonts w:hint="eastAsia" w:ascii="仿宋" w:hAnsi="仿宋" w:eastAsia="仿宋"/>
          <w:sz w:val="24"/>
          <w:szCs w:val="24"/>
        </w:rPr>
        <w:t>万元），作为乙方诚信、全面、正确履行全部合同义务的保证，如发生违约扣款情况，乙方同意将违约金从履约保证金中足额扣除；履约保证金在乙方供货完毕且办理完总结算签字确认后</w:t>
      </w:r>
      <w:r>
        <w:rPr>
          <w:rFonts w:ascii="仿宋" w:hAnsi="仿宋" w:eastAsia="仿宋"/>
          <w:sz w:val="24"/>
          <w:szCs w:val="24"/>
        </w:rPr>
        <w:t>30</w:t>
      </w:r>
      <w:r>
        <w:rPr>
          <w:rFonts w:hint="eastAsia" w:ascii="仿宋" w:hAnsi="仿宋" w:eastAsia="仿宋"/>
          <w:sz w:val="24"/>
          <w:szCs w:val="24"/>
        </w:rPr>
        <w:t>个工作日内，扣除违约金无息返还；如有其他情况，双方协商确定返还时间。</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技术质量要求</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相关标准规范：各类线材、圆钢应符合《钢筋混凝土用钢第1部分：热轧光圆钢筋》（GB/T 1499.1-2017）标准，盘螺、螺纹钢应符合《钢筋混凝土用钢第2部分：热轧带肋钢筋》（GB/T 1499.2-2018）标准及现行行业标准。</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质量基本条件：质量等级及相关质量参数需具备检测资质的第三方机构检测报告。</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材质证明书：根据甲方要求提供相关证明资料，不限于产品说明书。</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服务质量：产品质量应严格符合工程项目的设计、招标文件及有关工程施工及验收规范的要求，同时产品质量及服务必须满足甲方为保证工程质量而对质量、服务等方面提出的各种进一步要求。</w:t>
      </w:r>
    </w:p>
    <w:p>
      <w:pPr>
        <w:widowControl w:val="0"/>
        <w:numPr>
          <w:ilvl w:val="1"/>
          <w:numId w:val="2"/>
        </w:numPr>
        <w:autoSpaceDE w:val="0"/>
        <w:spacing w:after="0" w:line="560" w:lineRule="exact"/>
        <w:ind w:left="0" w:firstLine="0"/>
        <w:jc w:val="both"/>
        <w:rPr>
          <w:rFonts w:hint="eastAsia" w:eastAsia="宋体"/>
          <w:color w:val="auto"/>
          <w:sz w:val="21"/>
          <w:szCs w:val="21"/>
        </w:rPr>
      </w:pPr>
      <w:r>
        <w:rPr>
          <w:rFonts w:hint="eastAsia" w:ascii="仿宋" w:hAnsi="仿宋" w:eastAsia="仿宋"/>
          <w:sz w:val="24"/>
          <w:szCs w:val="24"/>
        </w:rPr>
        <w:t>质量保证期：</w:t>
      </w:r>
      <w:r>
        <w:rPr>
          <w:rFonts w:hint="eastAsia" w:ascii="仿宋" w:hAnsi="仿宋" w:eastAsia="仿宋"/>
          <w:sz w:val="24"/>
          <w:szCs w:val="24"/>
          <w:u w:val="single"/>
        </w:rPr>
        <w:t>终身质保</w:t>
      </w:r>
      <w:r>
        <w:rPr>
          <w:rFonts w:hint="eastAsia" w:ascii="仿宋" w:hAnsi="仿宋" w:eastAsia="仿宋"/>
          <w:sz w:val="24"/>
          <w:szCs w:val="24"/>
        </w:rPr>
        <w:t>。（从本工程竣工验收完毕之日起算）。</w:t>
      </w:r>
    </w:p>
    <w:p>
      <w:pPr>
        <w:widowControl w:val="0"/>
        <w:numPr>
          <w:ilvl w:val="0"/>
          <w:numId w:val="2"/>
        </w:numPr>
        <w:spacing w:after="0" w:line="560" w:lineRule="exact"/>
        <w:ind w:left="0" w:firstLine="0"/>
        <w:jc w:val="both"/>
        <w:rPr>
          <w:rFonts w:ascii="仿宋" w:hAnsi="仿宋" w:eastAsia="仿宋"/>
          <w:b/>
          <w:bCs/>
          <w:sz w:val="24"/>
          <w:szCs w:val="24"/>
        </w:rPr>
      </w:pPr>
      <w:r>
        <w:rPr>
          <w:rFonts w:hint="eastAsia" w:ascii="仿宋" w:hAnsi="仿宋" w:eastAsia="仿宋"/>
          <w:b/>
          <w:bCs/>
          <w:sz w:val="24"/>
          <w:szCs w:val="24"/>
        </w:rPr>
        <w:t>验收方法</w:t>
      </w:r>
    </w:p>
    <w:p>
      <w:pPr>
        <w:spacing w:line="560" w:lineRule="exact"/>
        <w:rPr>
          <w:rFonts w:hint="eastAsia" w:eastAsia="仿宋"/>
          <w:color w:val="auto"/>
          <w:sz w:val="21"/>
          <w:szCs w:val="21"/>
        </w:rPr>
      </w:pPr>
      <w:r>
        <w:rPr>
          <w:rFonts w:hint="eastAsia" w:ascii="仿宋" w:hAnsi="仿宋" w:eastAsia="仿宋"/>
          <w:sz w:val="24"/>
          <w:szCs w:val="24"/>
        </w:rPr>
        <w:t>按照国家的技术规范和采购标准验收。</w:t>
      </w:r>
    </w:p>
    <w:p>
      <w:pPr>
        <w:widowControl w:val="0"/>
        <w:numPr>
          <w:ilvl w:val="0"/>
          <w:numId w:val="2"/>
        </w:numPr>
        <w:spacing w:after="0" w:line="560" w:lineRule="exact"/>
        <w:ind w:left="0" w:firstLine="0"/>
        <w:jc w:val="both"/>
        <w:rPr>
          <w:rFonts w:ascii="仿宋" w:hAnsi="仿宋" w:eastAsia="仿宋"/>
          <w:sz w:val="24"/>
          <w:szCs w:val="24"/>
        </w:rPr>
      </w:pPr>
      <w:r>
        <w:rPr>
          <w:rFonts w:hint="eastAsia" w:ascii="仿宋" w:hAnsi="仿宋" w:eastAsia="仿宋"/>
          <w:b/>
          <w:bCs/>
          <w:sz w:val="24"/>
          <w:szCs w:val="24"/>
        </w:rPr>
        <w:t>交货地点、交货人员、交货期限</w:t>
      </w:r>
      <w:r>
        <w:rPr>
          <w:rFonts w:hint="eastAsia" w:ascii="仿宋" w:hAnsi="仿宋" w:eastAsia="仿宋"/>
          <w:sz w:val="24"/>
          <w:szCs w:val="24"/>
        </w:rPr>
        <w:t xml:space="preserve"> </w:t>
      </w:r>
    </w:p>
    <w:p>
      <w:pPr>
        <w:widowControl w:val="0"/>
        <w:numPr>
          <w:ilvl w:val="1"/>
          <w:numId w:val="3"/>
        </w:numPr>
        <w:spacing w:after="0" w:line="560" w:lineRule="exact"/>
        <w:ind w:left="0" w:firstLine="0"/>
        <w:jc w:val="both"/>
        <w:rPr>
          <w:rFonts w:hint="eastAsia" w:ascii="仿宋" w:hAnsi="仿宋" w:eastAsia="仿宋"/>
          <w:sz w:val="24"/>
          <w:szCs w:val="24"/>
        </w:rPr>
      </w:pPr>
      <w:r>
        <w:rPr>
          <w:rFonts w:hint="eastAsia" w:ascii="仿宋" w:hAnsi="仿宋" w:eastAsia="仿宋"/>
          <w:color w:val="auto"/>
          <w:sz w:val="24"/>
          <w:szCs w:val="24"/>
        </w:rPr>
        <w:t>交货地点：本项目共有3个送货地址：</w:t>
      </w:r>
      <w:r>
        <w:rPr>
          <w:rFonts w:hint="eastAsia" w:ascii="仿宋" w:hAnsi="仿宋" w:eastAsia="仿宋" w:cs="仿宋"/>
          <w:color w:val="auto"/>
          <w:sz w:val="24"/>
          <w:szCs w:val="24"/>
        </w:rPr>
        <w:t>①白马一号308吨项目地点：海南省儋州市中二横路与西二直路交叉口东100米；②美伦国际1200吨项目地点：海南省澄迈县美造路与南二环路交叉口正东方向124米；③海南全景装配式建筑科技有限公司690吨项目地点：海南省临高县金牌港开发区美览村。</w:t>
      </w:r>
    </w:p>
    <w:p>
      <w:pPr>
        <w:widowControl w:val="0"/>
        <w:numPr>
          <w:ilvl w:val="1"/>
          <w:numId w:val="3"/>
        </w:numPr>
        <w:spacing w:after="0" w:line="560" w:lineRule="exact"/>
        <w:ind w:left="0" w:firstLine="0"/>
        <w:jc w:val="both"/>
        <w:rPr>
          <w:rFonts w:hint="eastAsia" w:ascii="仿宋" w:hAnsi="仿宋" w:eastAsia="仿宋"/>
          <w:sz w:val="24"/>
          <w:szCs w:val="24"/>
        </w:rPr>
      </w:pPr>
      <w:r>
        <w:rPr>
          <w:rFonts w:hint="eastAsia" w:ascii="仿宋" w:hAnsi="仿宋" w:eastAsia="仿宋"/>
          <w:color w:val="auto"/>
          <w:sz w:val="24"/>
          <w:szCs w:val="24"/>
        </w:rPr>
        <w:t>乙方按甲方的供货通知所要求的规格、数量，供应甲方合同明细中要求的物资。</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甲方指定收货人员：姓名</w:t>
      </w:r>
      <w:r>
        <w:rPr>
          <w:rFonts w:hint="eastAsia" w:ascii="仿宋" w:hAnsi="仿宋" w:eastAsia="仿宋"/>
          <w:sz w:val="24"/>
          <w:szCs w:val="24"/>
          <w:u w:val="single"/>
          <w:lang w:val="en-US" w:eastAsia="zh-CN"/>
        </w:rPr>
        <w:t xml:space="preserve">      </w:t>
      </w:r>
      <w:r>
        <w:rPr>
          <w:rFonts w:hint="eastAsia" w:ascii="仿宋" w:hAnsi="仿宋" w:eastAsia="仿宋"/>
          <w:sz w:val="24"/>
          <w:szCs w:val="24"/>
        </w:rPr>
        <w:t>（联系电话</w:t>
      </w:r>
      <w:r>
        <w:rPr>
          <w:rFonts w:hint="eastAsia" w:ascii="仿宋" w:hAnsi="仿宋" w:eastAsia="仿宋"/>
          <w:sz w:val="24"/>
          <w:szCs w:val="24"/>
          <w:u w:val="single"/>
        </w:rPr>
        <w:t xml:space="preserve">         </w:t>
      </w:r>
      <w:r>
        <w:rPr>
          <w:rFonts w:hint="eastAsia" w:ascii="仿宋" w:hAnsi="仿宋" w:eastAsia="仿宋"/>
          <w:sz w:val="24"/>
          <w:szCs w:val="24"/>
        </w:rPr>
        <w:t>，微信号：</w:t>
      </w:r>
      <w:r>
        <w:rPr>
          <w:rFonts w:hint="eastAsia" w:ascii="仿宋" w:hAnsi="仿宋" w:eastAsia="仿宋"/>
          <w:sz w:val="24"/>
          <w:szCs w:val="24"/>
          <w:u w:val="single"/>
        </w:rPr>
        <w:t xml:space="preserve">           </w:t>
      </w:r>
      <w:r>
        <w:rPr>
          <w:rFonts w:hint="eastAsia" w:ascii="仿宋" w:hAnsi="仿宋" w:eastAsia="仿宋"/>
          <w:sz w:val="24"/>
          <w:szCs w:val="24"/>
        </w:rPr>
        <w:t xml:space="preserve"> ）负责签字验收，甲方如要求变更验收签字人，应在交货前书面通知乙方，作为本合同的补充条款，非甲方指定人员签字的货单，甲方不予结算。</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交货日期：乙方收到订单后3天内将货物送达该项目指定地点。</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货款的结算及支付方式</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计量方式：螺纹钢、盘螺、高线按照过磅计重，计量保留小数点后三位数据。甲方对乙方运达工地的钢材按过磅计量收货，磅差在正负3‰以内按出库数量为准。因钢材过磅数量发生争议时，双方约定送至第三方复检，若磅差在3‰以内，则以乙方提供的数量为准，复磅费及由此产生的费用由甲方承担；若磅差超过3‰，则以第三方复检结果为准，复磅费及由此产生的费用由乙方承担。</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结算方式：乙方在接到甲方下单货物后，乙方按下单当天的结算单价提供对应货物的预付款保函至甲方，甲方在货物发货前支付货物价款100%费用</w:t>
      </w:r>
      <w:r>
        <w:rPr>
          <w:rFonts w:hint="eastAsia" w:ascii="仿宋" w:hAnsi="仿宋" w:eastAsia="仿宋"/>
          <w:sz w:val="24"/>
          <w:szCs w:val="24"/>
          <w:lang w:eastAsia="zh-CN"/>
        </w:rPr>
        <w:t>。</w:t>
      </w:r>
      <w:r>
        <w:rPr>
          <w:rFonts w:hint="eastAsia" w:ascii="仿宋" w:hAnsi="仿宋" w:eastAsia="仿宋"/>
          <w:sz w:val="24"/>
          <w:szCs w:val="24"/>
        </w:rPr>
        <w:t>(如甲方采用银行承兑汇票的支付方式，银行承兑汇票贴现利息由甲方承担)</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乙方指定收款账户：</w:t>
      </w:r>
    </w:p>
    <w:p>
      <w:pPr>
        <w:spacing w:line="560" w:lineRule="exact"/>
        <w:rPr>
          <w:rFonts w:hint="eastAsia" w:ascii="仿宋" w:hAnsi="仿宋" w:eastAsia="仿宋"/>
          <w:sz w:val="24"/>
          <w:szCs w:val="24"/>
        </w:rPr>
      </w:pPr>
      <w:r>
        <w:rPr>
          <w:rFonts w:hint="eastAsia" w:ascii="仿宋" w:hAnsi="仿宋" w:eastAsia="仿宋"/>
          <w:sz w:val="24"/>
          <w:szCs w:val="24"/>
        </w:rPr>
        <w:t>名    称：_________有限公司</w:t>
      </w:r>
    </w:p>
    <w:p>
      <w:pPr>
        <w:spacing w:line="560" w:lineRule="exact"/>
        <w:rPr>
          <w:rFonts w:hint="eastAsia" w:ascii="仿宋" w:hAnsi="仿宋" w:eastAsia="仿宋"/>
          <w:sz w:val="24"/>
          <w:szCs w:val="24"/>
        </w:rPr>
      </w:pPr>
      <w:r>
        <w:rPr>
          <w:rFonts w:hint="eastAsia" w:ascii="仿宋" w:hAnsi="仿宋" w:eastAsia="仿宋"/>
          <w:sz w:val="24"/>
          <w:szCs w:val="24"/>
        </w:rPr>
        <w:t>开 户 行：_________</w:t>
      </w:r>
    </w:p>
    <w:p>
      <w:pPr>
        <w:spacing w:line="560" w:lineRule="exact"/>
        <w:rPr>
          <w:rFonts w:hint="eastAsia" w:ascii="仿宋" w:hAnsi="仿宋" w:eastAsia="仿宋"/>
          <w:sz w:val="24"/>
          <w:szCs w:val="24"/>
        </w:rPr>
      </w:pPr>
      <w:r>
        <w:rPr>
          <w:rFonts w:hint="eastAsia" w:ascii="仿宋" w:hAnsi="仿宋" w:eastAsia="仿宋"/>
          <w:sz w:val="24"/>
          <w:szCs w:val="24"/>
        </w:rPr>
        <w:t>账    号：</w:t>
      </w:r>
      <w:r>
        <w:rPr>
          <w:rFonts w:hint="eastAsia" w:ascii="仿宋" w:hAnsi="仿宋" w:eastAsia="仿宋"/>
          <w:kern w:val="0"/>
          <w:sz w:val="24"/>
          <w:szCs w:val="24"/>
        </w:rPr>
        <w:t>_________</w:t>
      </w:r>
    </w:p>
    <w:p>
      <w:pPr>
        <w:widowControl w:val="0"/>
        <w:numPr>
          <w:ilvl w:val="1"/>
          <w:numId w:val="2"/>
        </w:numPr>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甲方开票信息：</w:t>
      </w:r>
    </w:p>
    <w:p>
      <w:pPr>
        <w:spacing w:line="560" w:lineRule="exact"/>
        <w:rPr>
          <w:rFonts w:hint="eastAsia" w:ascii="仿宋" w:hAnsi="仿宋" w:eastAsia="仿宋"/>
          <w:sz w:val="24"/>
          <w:szCs w:val="24"/>
        </w:rPr>
      </w:pPr>
      <w:r>
        <w:rPr>
          <w:rFonts w:hint="eastAsia" w:ascii="仿宋" w:hAnsi="仿宋" w:eastAsia="仿宋"/>
        </w:rPr>
        <w:t>名</w:t>
      </w:r>
      <w:r>
        <w:rPr>
          <w:rFonts w:hint="eastAsia" w:ascii="仿宋" w:hAnsi="仿宋" w:eastAsia="仿宋"/>
          <w:sz w:val="24"/>
          <w:szCs w:val="24"/>
        </w:rPr>
        <w:t xml:space="preserve">    称：海南洋浦陆海国际贸易有限公司</w:t>
      </w:r>
    </w:p>
    <w:p>
      <w:pPr>
        <w:spacing w:line="560" w:lineRule="exact"/>
        <w:rPr>
          <w:rFonts w:hint="eastAsia" w:ascii="仿宋" w:hAnsi="仿宋" w:eastAsia="仿宋"/>
          <w:sz w:val="24"/>
          <w:szCs w:val="24"/>
        </w:rPr>
      </w:pPr>
      <w:r>
        <w:rPr>
          <w:rFonts w:hint="eastAsia" w:ascii="仿宋" w:hAnsi="仿宋" w:eastAsia="仿宋"/>
          <w:sz w:val="24"/>
          <w:szCs w:val="24"/>
        </w:rPr>
        <w:t>纳税人识别号：91460000MABU89U388</w:t>
      </w:r>
    </w:p>
    <w:p>
      <w:pPr>
        <w:spacing w:line="560" w:lineRule="exact"/>
        <w:rPr>
          <w:rFonts w:hint="eastAsia" w:ascii="仿宋" w:hAnsi="仿宋" w:eastAsia="仿宋"/>
          <w:sz w:val="24"/>
          <w:szCs w:val="24"/>
        </w:rPr>
      </w:pPr>
      <w:r>
        <w:rPr>
          <w:rFonts w:hint="eastAsia" w:ascii="仿宋" w:hAnsi="仿宋" w:eastAsia="仿宋"/>
          <w:sz w:val="24"/>
          <w:szCs w:val="24"/>
        </w:rPr>
        <w:t>营业地址：海南省洋浦经济开发区新英湾区控股大道洋浦大厦8楼818房</w:t>
      </w:r>
    </w:p>
    <w:p>
      <w:pPr>
        <w:spacing w:line="560" w:lineRule="exact"/>
        <w:rPr>
          <w:rFonts w:hint="eastAsia" w:ascii="仿宋" w:hAnsi="仿宋" w:eastAsia="仿宋"/>
          <w:sz w:val="24"/>
          <w:szCs w:val="24"/>
        </w:rPr>
      </w:pPr>
      <w:r>
        <w:rPr>
          <w:rFonts w:hint="eastAsia" w:ascii="仿宋" w:hAnsi="仿宋" w:eastAsia="仿宋"/>
          <w:sz w:val="24"/>
          <w:szCs w:val="24"/>
        </w:rPr>
        <w:t>电    话：0898-28816705</w:t>
      </w:r>
    </w:p>
    <w:p>
      <w:pPr>
        <w:spacing w:line="560" w:lineRule="exact"/>
        <w:rPr>
          <w:rFonts w:hint="eastAsia" w:ascii="仿宋" w:hAnsi="仿宋" w:eastAsia="仿宋"/>
          <w:sz w:val="24"/>
          <w:szCs w:val="24"/>
        </w:rPr>
      </w:pPr>
      <w:r>
        <w:rPr>
          <w:rFonts w:hint="eastAsia" w:ascii="仿宋" w:hAnsi="仿宋" w:eastAsia="仿宋"/>
          <w:sz w:val="24"/>
          <w:szCs w:val="24"/>
        </w:rPr>
        <w:t>开 户 行：海南银行股份有限公司洋浦支行</w:t>
      </w:r>
    </w:p>
    <w:p>
      <w:pPr>
        <w:spacing w:line="560" w:lineRule="exact"/>
        <w:rPr>
          <w:rFonts w:hint="eastAsia" w:ascii="仿宋" w:hAnsi="仿宋" w:eastAsia="仿宋"/>
          <w:sz w:val="24"/>
          <w:szCs w:val="24"/>
        </w:rPr>
      </w:pPr>
      <w:r>
        <w:rPr>
          <w:rFonts w:hint="eastAsia" w:ascii="仿宋" w:hAnsi="仿宋" w:eastAsia="仿宋"/>
          <w:sz w:val="24"/>
          <w:szCs w:val="24"/>
        </w:rPr>
        <w:t>银行账号：6005178800010</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违约责任</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乙方若不能按甲方需求在规定期限送至指定现场存货地点，乙方将承担因此造成的一切损失，并且甲方向乙方收取逾期运达物资总额（含增值税）每日0.5％的违约金，若逾期三天以上，则甲方有权因乙方违约而单方终止本合同。（产品实际运送到合同指定地点的时间为乙方的实际交货时间，并以此来确定是否构成逾期交货）；若因乙方逾期供货，导致甲方所负责供应的项目工期延误，甲方因此而遭受损失的，则甲方可按照批次货价的30%收取违约金，同时可要求乙方赔偿因工程延期而甲方遭受的全部损失。若出现此类情况两次，则甲方可当方解除合同。</w:t>
      </w:r>
      <w:r>
        <w:rPr>
          <w:rFonts w:hint="eastAsia" w:ascii="仿宋" w:hAnsi="仿宋" w:eastAsia="仿宋" w:cs="仿宋"/>
          <w:sz w:val="24"/>
          <w:szCs w:val="24"/>
        </w:rPr>
        <w:t>乙方不得因甲方未按期付款而停止供应，如因停止供应造成的损失参照乙方延期供应违约责任执行。</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本合同所采购与供应的物资，在进场验收或使用过程中（规定质量保证期限内）出现品牌规格数量不符、单据丢失、物资质量不达标等问题，甲方可按下列条款中的一条或多条向乙方主张权利：</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（1）同意甲方拒收物资，并把被拒收物资的预付货款返还甲方。</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（2）要求乙方承担退货过程中发生的一切损失和费用，包括利息、银行费用、运输和保险费、检验费、仓储和装卸费以及为保管和保护退货货物所需的其它费用。</w:t>
      </w:r>
    </w:p>
    <w:p>
      <w:pPr>
        <w:autoSpaceDE w:val="0"/>
        <w:spacing w:after="0" w:line="560" w:lineRule="exact"/>
        <w:rPr>
          <w:rFonts w:hint="eastAsia" w:ascii="仿宋" w:hAnsi="仿宋" w:eastAsia="仿宋"/>
          <w:sz w:val="24"/>
          <w:szCs w:val="24"/>
        </w:rPr>
      </w:pPr>
      <w:r>
        <w:rPr>
          <w:rFonts w:hint="eastAsia" w:ascii="仿宋" w:hAnsi="仿宋" w:eastAsia="仿宋"/>
          <w:sz w:val="24"/>
          <w:szCs w:val="24"/>
        </w:rPr>
        <w:t>（3）若乙方出现单据丢失等情况，则甲方对乙方每次处以500元人民币的罚款，且乙方必须负责将有关单据补充完善；若因此类情况导致工期出现延误的，导致甲方遭受损失，甲方有权要求乙方按照当批次货价20%支付违约金，并赔偿由此遭受的全部损失；若出现此类情况两次，则甲方可单方解除合同。</w:t>
      </w:r>
    </w:p>
    <w:p>
      <w:pPr>
        <w:spacing w:after="0" w:line="560" w:lineRule="exact"/>
        <w:rPr>
          <w:rFonts w:hint="eastAsia" w:eastAsia="宋体"/>
          <w:color w:val="auto"/>
          <w:sz w:val="21"/>
          <w:szCs w:val="21"/>
        </w:rPr>
      </w:pPr>
      <w:r>
        <w:rPr>
          <w:rFonts w:hint="eastAsia" w:ascii="仿宋" w:hAnsi="仿宋" w:eastAsia="仿宋"/>
          <w:sz w:val="24"/>
          <w:szCs w:val="24"/>
        </w:rPr>
        <w:t>（4）若出现规格、数量不符的情况，甲方对乙方每次处以1000元人民币的罚款；若因此类情况导致工期出现延误的，导致甲方遭受损失，甲方有权要求乙方按照当批次货价20%支付违约金，并赔偿由此遭受的全部损失；若出现此类情况两次，则甲方可单方解除合同。</w:t>
      </w:r>
    </w:p>
    <w:p>
      <w:pPr>
        <w:spacing w:after="0" w:line="560" w:lineRule="exact"/>
        <w:rPr>
          <w:rFonts w:hint="eastAsia"/>
        </w:rPr>
      </w:pPr>
      <w:r>
        <w:rPr>
          <w:rFonts w:hint="eastAsia" w:ascii="仿宋" w:hAnsi="仿宋" w:eastAsia="仿宋"/>
          <w:sz w:val="24"/>
          <w:szCs w:val="24"/>
        </w:rPr>
        <w:t>（5）若出现质量不合格的产品，甲方有权邀请当地有关质量监督管理部门进行检验，并出具检验证书，若证实乙方所供物资不符合要求，甲方对乙方每次处于10000元人民币的罚款，若因此类情况导致工期出现延误的，导致甲方遭受损失，甲方有权要求乙方按照当批次货价20%支付违约金，并赔偿由此遭受的全部损失；另外，还可要求乙方更换有缺陷的物资，以达到合同约定的质量和性能，乙方承担一切费用和风险，同时相应延长被更换物资的质量保证期；若出现此类情况两次，则甲方可单方解除合同。</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在甲方向乙方支付结算货款前，乙方应向甲方开具信息真实、准确、合规合法的增值税专用发票。因乙方开具的发票不规范、不合法或涉嫌虚开发票，给甲方造成无法及时认证、抵扣发票等税务问题，甲方有权据此不支付相应的货款，且不构成合同违约，乙方应向甲方重新开具发票，并向甲方承担赔偿责任，包括但不限于税款、滞纳金、罚款及相关损失等。</w:t>
      </w:r>
      <w:r>
        <w:rPr>
          <w:rFonts w:hint="eastAsia" w:ascii="仿宋" w:hAnsi="仿宋" w:eastAsia="仿宋" w:cs="仿宋"/>
          <w:sz w:val="24"/>
          <w:szCs w:val="24"/>
        </w:rPr>
        <w:t>如甲乙双方存在其他业务合作，乙方对甲方存在应付未付货款，甲方可按此货款金额延期支付乙方，不承担相应利息补偿。</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违反本合同的义务给其他守约方造成损失的，违约方都应当立即停止违约行为，并承担赔偿损失责任，包括但不限于守约方为追索权利而支出的诉讼费、保全费、评估费、鉴定费、调查费、公证费、律师费，以及向第三方支付的赔偿、为应对第三方的指控而支付的一切费用。</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合同生效及争议解决</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本合同经双方加盖公章后生效。</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因本合同（协议）引起的一切争议，由双方当事人协商解决；协商不成，双方将争议提交甲方所在地人民法院解决。</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通知及送达</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向对方发出的任何通知均应采取书面形式，并以电话通知对方加以确认。双方共同确认以下联系人、电话、电子邮箱、地址可被用于各方之间书面材料、文件、图纸等送达之联络信息，也可用作于政府部门、人民法院等材料送达之联络信息。</w:t>
      </w:r>
    </w:p>
    <w:p>
      <w:pPr>
        <w:spacing w:line="560" w:lineRule="exact"/>
        <w:rPr>
          <w:rFonts w:hint="eastAsia" w:ascii="仿宋" w:hAnsi="仿宋" w:eastAsia="仿宋"/>
          <w:sz w:val="24"/>
          <w:szCs w:val="24"/>
        </w:rPr>
      </w:pPr>
      <w:r>
        <w:rPr>
          <w:rFonts w:hint="eastAsia" w:ascii="仿宋" w:hAnsi="仿宋" w:eastAsia="仿宋"/>
          <w:sz w:val="24"/>
          <w:szCs w:val="24"/>
        </w:rPr>
        <w:t>甲方</w:t>
      </w:r>
    </w:p>
    <w:p>
      <w:pPr>
        <w:spacing w:line="560" w:lineRule="exact"/>
        <w:rPr>
          <w:rFonts w:hint="eastAsia" w:ascii="仿宋" w:hAnsi="仿宋" w:eastAsia="仿宋"/>
          <w:sz w:val="24"/>
          <w:szCs w:val="24"/>
        </w:rPr>
      </w:pPr>
      <w:r>
        <w:rPr>
          <w:rFonts w:hint="eastAsia" w:ascii="仿宋" w:hAnsi="仿宋" w:eastAsia="仿宋"/>
          <w:sz w:val="24"/>
          <w:szCs w:val="24"/>
        </w:rPr>
        <w:t xml:space="preserve">联系人：                 </w:t>
      </w:r>
    </w:p>
    <w:p>
      <w:pPr>
        <w:spacing w:line="560" w:lineRule="exact"/>
        <w:rPr>
          <w:rFonts w:hint="eastAsia" w:ascii="仿宋" w:hAnsi="仿宋" w:eastAsia="仿宋"/>
          <w:sz w:val="24"/>
          <w:szCs w:val="24"/>
        </w:rPr>
      </w:pPr>
      <w:r>
        <w:rPr>
          <w:rFonts w:hint="eastAsia" w:ascii="仿宋" w:hAnsi="仿宋" w:eastAsia="仿宋"/>
          <w:sz w:val="24"/>
          <w:szCs w:val="24"/>
        </w:rPr>
        <w:t>联系电话：</w:t>
      </w:r>
    </w:p>
    <w:p>
      <w:pPr>
        <w:spacing w:line="560" w:lineRule="exact"/>
        <w:rPr>
          <w:rFonts w:hint="eastAsia" w:ascii="仿宋" w:hAnsi="仿宋" w:eastAsia="仿宋"/>
          <w:sz w:val="24"/>
          <w:szCs w:val="24"/>
        </w:rPr>
      </w:pPr>
      <w:r>
        <w:rPr>
          <w:rFonts w:hint="eastAsia" w:ascii="仿宋" w:hAnsi="仿宋" w:eastAsia="仿宋"/>
          <w:sz w:val="24"/>
          <w:szCs w:val="24"/>
        </w:rPr>
        <w:t xml:space="preserve">微信号：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联系邮箱：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联系地址： 海南省儋州市洋浦经济开发区洋浦国际商业大厦305室             </w:t>
      </w:r>
    </w:p>
    <w:p>
      <w:pPr>
        <w:spacing w:line="560" w:lineRule="exact"/>
        <w:rPr>
          <w:rFonts w:hint="eastAsia" w:ascii="仿宋" w:hAnsi="仿宋" w:eastAsia="仿宋"/>
          <w:sz w:val="24"/>
          <w:szCs w:val="24"/>
        </w:rPr>
      </w:pPr>
      <w:r>
        <w:rPr>
          <w:rFonts w:hint="eastAsia" w:ascii="仿宋" w:hAnsi="仿宋" w:eastAsia="仿宋"/>
          <w:sz w:val="24"/>
          <w:szCs w:val="24"/>
        </w:rPr>
        <w:t>乙方</w:t>
      </w:r>
    </w:p>
    <w:p>
      <w:pPr>
        <w:spacing w:line="560" w:lineRule="exact"/>
        <w:rPr>
          <w:rFonts w:hint="eastAsia" w:ascii="仿宋" w:hAnsi="仿宋" w:eastAsia="仿宋"/>
          <w:sz w:val="24"/>
          <w:szCs w:val="24"/>
        </w:rPr>
      </w:pPr>
      <w:r>
        <w:rPr>
          <w:rFonts w:hint="eastAsia" w:ascii="仿宋" w:hAnsi="仿宋" w:eastAsia="仿宋"/>
          <w:sz w:val="24"/>
          <w:szCs w:val="24"/>
        </w:rPr>
        <w:t xml:space="preserve">联系人：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联系电话： </w:t>
      </w:r>
    </w:p>
    <w:p>
      <w:pPr>
        <w:spacing w:line="560" w:lineRule="exact"/>
        <w:rPr>
          <w:rFonts w:hint="eastAsia" w:ascii="仿宋" w:hAnsi="仿宋" w:eastAsia="仿宋"/>
          <w:sz w:val="24"/>
          <w:szCs w:val="24"/>
        </w:rPr>
      </w:pPr>
      <w:r>
        <w:rPr>
          <w:rFonts w:hint="eastAsia" w:ascii="仿宋" w:hAnsi="仿宋" w:eastAsia="仿宋"/>
          <w:sz w:val="24"/>
          <w:szCs w:val="24"/>
        </w:rPr>
        <w:t xml:space="preserve">微信号：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联系邮箱：                </w:t>
      </w:r>
    </w:p>
    <w:p>
      <w:pPr>
        <w:spacing w:line="560" w:lineRule="exact"/>
        <w:rPr>
          <w:rFonts w:hint="eastAsia" w:ascii="仿宋" w:hAnsi="仿宋" w:eastAsia="仿宋"/>
          <w:sz w:val="24"/>
          <w:szCs w:val="24"/>
        </w:rPr>
      </w:pPr>
      <w:r>
        <w:rPr>
          <w:rFonts w:hint="eastAsia" w:ascii="仿宋" w:hAnsi="仿宋" w:eastAsia="仿宋"/>
          <w:sz w:val="24"/>
          <w:szCs w:val="24"/>
        </w:rPr>
        <w:t xml:space="preserve">联系地址： </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任何一方变更本合同所示的项目联系人及联系方式，应提前3日书面通知对方。否则对方有权依据本合同载明的联络信息进行联系，且视为送达。 </w:t>
      </w:r>
    </w:p>
    <w:p>
      <w:pPr>
        <w:widowControl w:val="0"/>
        <w:numPr>
          <w:ilvl w:val="0"/>
          <w:numId w:val="2"/>
        </w:numPr>
        <w:spacing w:after="0" w:line="560" w:lineRule="exact"/>
        <w:ind w:left="0" w:firstLine="0"/>
        <w:jc w:val="both"/>
        <w:rPr>
          <w:rFonts w:hint="eastAsia" w:ascii="仿宋" w:hAnsi="仿宋" w:eastAsia="仿宋"/>
          <w:b/>
          <w:bCs/>
          <w:sz w:val="24"/>
          <w:szCs w:val="24"/>
        </w:rPr>
      </w:pPr>
      <w:r>
        <w:rPr>
          <w:rFonts w:hint="eastAsia" w:ascii="仿宋" w:hAnsi="仿宋" w:eastAsia="仿宋"/>
          <w:b/>
          <w:bCs/>
          <w:sz w:val="24"/>
          <w:szCs w:val="24"/>
        </w:rPr>
        <w:t>其他约定事项</w:t>
      </w:r>
    </w:p>
    <w:p>
      <w:pPr>
        <w:widowControl w:val="0"/>
        <w:numPr>
          <w:ilvl w:val="1"/>
          <w:numId w:val="2"/>
        </w:numPr>
        <w:autoSpaceDE w:val="0"/>
        <w:spacing w:after="0" w:line="560" w:lineRule="exact"/>
        <w:ind w:left="0" w:firstLine="0"/>
        <w:jc w:val="both"/>
        <w:rPr>
          <w:rFonts w:hint="eastAsia" w:ascii="仿宋" w:hAnsi="仿宋" w:eastAsia="仿宋"/>
          <w:sz w:val="24"/>
          <w:szCs w:val="24"/>
        </w:rPr>
      </w:pPr>
      <w:r>
        <w:rPr>
          <w:rFonts w:hint="eastAsia" w:ascii="仿宋" w:hAnsi="仿宋" w:eastAsia="仿宋"/>
          <w:sz w:val="24"/>
          <w:szCs w:val="24"/>
        </w:rPr>
        <w:t xml:space="preserve"> 双方往来均以书面形式（指合同书、函件、传真）为准。 </w:t>
      </w:r>
    </w:p>
    <w:p>
      <w:pPr>
        <w:widowControl w:val="0"/>
        <w:numPr>
          <w:ilvl w:val="1"/>
          <w:numId w:val="2"/>
        </w:numPr>
        <w:autoSpaceDE w:val="0"/>
        <w:spacing w:after="0" w:line="560" w:lineRule="exact"/>
        <w:ind w:left="0" w:firstLine="0"/>
        <w:jc w:val="both"/>
        <w:rPr>
          <w:rFonts w:hint="eastAsia"/>
        </w:rPr>
      </w:pPr>
      <w:r>
        <w:rPr>
          <w:rFonts w:hint="eastAsia" w:ascii="仿宋" w:hAnsi="仿宋" w:eastAsia="仿宋"/>
          <w:sz w:val="24"/>
          <w:szCs w:val="24"/>
        </w:rPr>
        <w:t xml:space="preserve"> 本合同一式</w:t>
      </w:r>
      <w:r>
        <w:rPr>
          <w:rFonts w:hint="eastAsia" w:ascii="仿宋" w:hAnsi="仿宋" w:eastAsia="仿宋"/>
          <w:sz w:val="24"/>
          <w:szCs w:val="24"/>
          <w:lang w:val="en-US" w:eastAsia="zh-CN"/>
        </w:rPr>
        <w:t>肆</w:t>
      </w:r>
      <w:r>
        <w:rPr>
          <w:rFonts w:hint="eastAsia" w:ascii="仿宋" w:hAnsi="仿宋" w:eastAsia="仿宋"/>
          <w:sz w:val="24"/>
          <w:szCs w:val="24"/>
        </w:rPr>
        <w:t>份，甲方</w:t>
      </w:r>
      <w:r>
        <w:rPr>
          <w:rFonts w:hint="eastAsia" w:ascii="仿宋" w:hAnsi="仿宋" w:eastAsia="仿宋"/>
          <w:sz w:val="24"/>
          <w:szCs w:val="24"/>
          <w:lang w:val="en-US" w:eastAsia="zh-CN"/>
        </w:rPr>
        <w:t>贰</w:t>
      </w:r>
      <w:r>
        <w:rPr>
          <w:rFonts w:hint="eastAsia" w:ascii="仿宋" w:hAnsi="仿宋" w:eastAsia="仿宋"/>
          <w:sz w:val="24"/>
          <w:szCs w:val="24"/>
        </w:rPr>
        <w:t>份，乙方</w:t>
      </w:r>
      <w:r>
        <w:rPr>
          <w:rFonts w:hint="eastAsia" w:ascii="仿宋" w:hAnsi="仿宋" w:eastAsia="仿宋"/>
          <w:sz w:val="24"/>
          <w:szCs w:val="24"/>
          <w:lang w:val="en-US" w:eastAsia="zh-CN"/>
        </w:rPr>
        <w:t>贰</w:t>
      </w:r>
      <w:r>
        <w:rPr>
          <w:rFonts w:hint="eastAsia" w:ascii="仿宋" w:hAnsi="仿宋" w:eastAsia="仿宋"/>
          <w:sz w:val="24"/>
          <w:szCs w:val="24"/>
        </w:rPr>
        <w:t>份。</w:t>
      </w:r>
      <w:r>
        <w:rPr>
          <w:rFonts w:hint="eastAsia"/>
        </w:rPr>
        <w:t xml:space="preserve"> </w:t>
      </w:r>
    </w:p>
    <w:p>
      <w:pPr>
        <w:pStyle w:val="18"/>
        <w:rPr>
          <w:rFonts w:hint="eastAsia"/>
        </w:rPr>
      </w:pPr>
      <w:r>
        <w:rPr>
          <w:rFonts w:hint="eastAsia"/>
        </w:rPr>
        <w:t xml:space="preserve"> </w:t>
      </w:r>
    </w:p>
    <w:p>
      <w:pPr>
        <w:pStyle w:val="9"/>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甲方（盖章）：                       乙方（盖章）：                </w:t>
      </w:r>
    </w:p>
    <w:p>
      <w:pPr>
        <w:pStyle w:val="9"/>
        <w:spacing w:line="360" w:lineRule="auto"/>
        <w:rPr>
          <w:rFonts w:hint="eastAsia" w:ascii="仿宋" w:hAnsi="仿宋" w:eastAsia="仿宋"/>
          <w:color w:val="000000"/>
          <w:sz w:val="24"/>
          <w:szCs w:val="24"/>
        </w:rPr>
      </w:pPr>
      <w:r>
        <w:rPr>
          <w:rFonts w:hint="eastAsia" w:ascii="仿宋" w:hAnsi="仿宋" w:eastAsia="仿宋"/>
          <w:color w:val="000000"/>
          <w:sz w:val="24"/>
          <w:szCs w:val="24"/>
        </w:rPr>
        <w:t xml:space="preserve">           </w:t>
      </w:r>
    </w:p>
    <w:p>
      <w:pPr>
        <w:pStyle w:val="9"/>
        <w:spacing w:line="360" w:lineRule="auto"/>
        <w:rPr>
          <w:rFonts w:hint="eastAsia" w:ascii="仿宋" w:hAnsi="仿宋" w:eastAsia="仿宋"/>
          <w:color w:val="000000"/>
          <w:sz w:val="24"/>
          <w:szCs w:val="24"/>
        </w:rPr>
      </w:pPr>
      <w:r>
        <w:rPr>
          <w:rFonts w:hint="eastAsia" w:ascii="仿宋" w:hAnsi="仿宋" w:eastAsia="仿宋"/>
          <w:color w:val="000000"/>
          <w:sz w:val="24"/>
          <w:szCs w:val="24"/>
        </w:rPr>
        <w:t>签署日期：</w:t>
      </w:r>
      <w:r>
        <w:rPr>
          <w:rFonts w:hint="eastAsia" w:ascii="仿宋" w:hAnsi="仿宋" w:eastAsia="仿宋"/>
          <w:color w:val="000000"/>
          <w:sz w:val="24"/>
          <w:szCs w:val="24"/>
          <w:u w:val="single"/>
        </w:rPr>
        <w:t>202</w:t>
      </w:r>
      <w:r>
        <w:rPr>
          <w:rFonts w:hint="eastAsia" w:ascii="仿宋" w:hAnsi="仿宋" w:eastAsia="仿宋"/>
          <w:color w:val="000000"/>
          <w:sz w:val="24"/>
          <w:szCs w:val="24"/>
          <w:u w:val="single"/>
          <w:lang w:val="en-US" w:eastAsia="zh-CN"/>
        </w:rPr>
        <w:t>4</w:t>
      </w:r>
      <w:r>
        <w:rPr>
          <w:rFonts w:hint="eastAsia" w:ascii="仿宋" w:hAnsi="仿宋" w:eastAsia="仿宋"/>
          <w:color w:val="000000"/>
          <w:sz w:val="24"/>
          <w:szCs w:val="24"/>
        </w:rPr>
        <w:t>年</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月</w:t>
      </w:r>
      <w:r>
        <w:rPr>
          <w:rFonts w:hint="eastAsia" w:ascii="仿宋" w:hAnsi="仿宋" w:eastAsia="仿宋"/>
          <w:color w:val="000000"/>
          <w:sz w:val="24"/>
          <w:szCs w:val="24"/>
          <w:u w:val="single"/>
        </w:rPr>
        <w:t xml:space="preserve">   </w:t>
      </w:r>
      <w:r>
        <w:rPr>
          <w:rFonts w:hint="eastAsia" w:ascii="仿宋" w:hAnsi="仿宋" w:eastAsia="仿宋"/>
          <w:color w:val="000000"/>
          <w:sz w:val="24"/>
          <w:szCs w:val="24"/>
        </w:rPr>
        <w:t>日</w:t>
      </w:r>
      <w:r>
        <w:rPr>
          <w:rFonts w:ascii="仿宋" w:hAnsi="仿宋" w:eastAsia="仿宋"/>
          <w:color w:val="000000"/>
          <w:sz w:val="24"/>
          <w:szCs w:val="24"/>
        </w:rPr>
        <w:br w:type="page"/>
      </w:r>
      <w:r>
        <w:rPr>
          <w:rFonts w:hint="eastAsia" w:ascii="仿宋" w:hAnsi="仿宋" w:eastAsia="仿宋"/>
          <w:color w:val="000000"/>
          <w:sz w:val="24"/>
          <w:szCs w:val="24"/>
        </w:rPr>
        <w:t xml:space="preserve"> </w:t>
      </w:r>
    </w:p>
    <w:p>
      <w:pPr>
        <w:pStyle w:val="2"/>
        <w:ind w:firstLine="0"/>
        <w:rPr>
          <w:rFonts w:hint="eastAsia" w:ascii="仿宋" w:hAnsi="仿宋" w:eastAsia="仿宋"/>
          <w:color w:val="000000"/>
          <w:sz w:val="24"/>
          <w:szCs w:val="24"/>
        </w:rPr>
      </w:pPr>
      <w:r>
        <w:rPr>
          <w:rFonts w:hint="eastAsia" w:ascii="仿宋" w:hAnsi="仿宋" w:eastAsia="仿宋"/>
          <w:color w:val="000000"/>
          <w:sz w:val="24"/>
          <w:szCs w:val="24"/>
        </w:rPr>
        <w:t>附件一：</w:t>
      </w:r>
    </w:p>
    <w:p>
      <w:pPr>
        <w:spacing w:line="440" w:lineRule="exact"/>
        <w:jc w:val="center"/>
        <w:rPr>
          <w:rFonts w:hint="eastAsia" w:ascii="仿宋" w:hAnsi="仿宋" w:eastAsia="仿宋"/>
          <w:b/>
          <w:bCs/>
          <w:color w:val="auto"/>
          <w:sz w:val="44"/>
          <w:szCs w:val="44"/>
        </w:rPr>
      </w:pPr>
      <w:r>
        <w:rPr>
          <w:rFonts w:hint="eastAsia" w:ascii="仿宋" w:hAnsi="仿宋" w:eastAsia="仿宋"/>
          <w:b/>
          <w:bCs/>
          <w:sz w:val="44"/>
          <w:szCs w:val="44"/>
        </w:rPr>
        <w:t>廉洁协议</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 xml:space="preserve">甲方：【海南洋浦陆海国际贸易有限公司】                     </w:t>
      </w:r>
    </w:p>
    <w:p>
      <w:pPr>
        <w:spacing w:line="440" w:lineRule="exact"/>
        <w:rPr>
          <w:rFonts w:hint="eastAsia" w:ascii="仿宋" w:hAnsi="仿宋" w:eastAsia="仿宋"/>
          <w:sz w:val="24"/>
          <w:szCs w:val="24"/>
        </w:rPr>
      </w:pPr>
      <w:r>
        <w:rPr>
          <w:rFonts w:hint="eastAsia" w:ascii="仿宋" w:hAnsi="仿宋" w:eastAsia="仿宋"/>
          <w:sz w:val="24"/>
          <w:szCs w:val="24"/>
        </w:rPr>
        <w:t xml:space="preserve">乙方：【                            】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一、适用范围</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本合同适用于甲方、乙方的所有工作人员。</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二、甲方对其工作人员的廉洁要求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甲方禁止其工作人员从事如下行为：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2.1向乙方索要贿赂、收受回扣及好处费、感谢费等；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2.2接受乙方馈赠的礼品礼金、通讯工具、交通工具、家电、高档办公用品、购物卡券等；</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2.3 以洽谈业务、签订经济合同为借口，接受乙方或其工作人员外出旅游和进入营业性高档娱乐场所的邀请；</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2.4以个人名义向乙方推荐和指定分包单位、材料供应商，向乙方、分包单位、材料供应商等单位介绍其配偶、子女、亲属等特定关系人从事与履行甲乙双方间合同有关的营利性经营活动；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2.5要求或者接受乙方为其住房装修、婚丧嫁娶、家属和子女的工作安排以及出境等提供方便；</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2.6利用职务便利，向乙方或分包、协作队伍、材料供应商借用交通工具、工款等，或提出、暗示其他不正当要求；</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2.7 要求乙方报销任何应由其个人承担的费用；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2.8 参加有可能影响公正开展工作的宴请、娱乐或其它活动</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2.9 进行其他违反政策、法律法规或廉洁从业要求的其他行为。</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三、乙方发现甲方工作人员有本合同第二条所列任何行为，有义务拒绝，亦有义务向甲方举报。</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甲方接受举报的途径如下：</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公司受理部门：纪检监察室</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 xml:space="preserve">公司受理电话：0898-28810186        </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公司受理邮箱：chengl@hnyplh.com</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五、乙方若须按照本廉洁协议约定承担违约责任，并不影响其按照主合同的约定承担违约责任。</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六、本廉洁协作为合同的附件，与合同具有同等法律效力，经合同双方签署后生效。</w:t>
      </w:r>
    </w:p>
    <w:p>
      <w:pPr>
        <w:spacing w:line="440" w:lineRule="exact"/>
        <w:ind w:firstLine="480" w:firstLineChars="200"/>
        <w:rPr>
          <w:rFonts w:hint="eastAsia" w:ascii="仿宋" w:hAnsi="仿宋" w:eastAsia="仿宋"/>
          <w:sz w:val="24"/>
          <w:szCs w:val="24"/>
        </w:rPr>
      </w:pPr>
      <w:r>
        <w:rPr>
          <w:rFonts w:hint="eastAsia" w:ascii="仿宋" w:hAnsi="仿宋" w:eastAsia="仿宋"/>
          <w:sz w:val="24"/>
          <w:szCs w:val="24"/>
        </w:rPr>
        <w:t>七、本合同【一式肆份，甲方执贰份,乙方执贰份】，具有同等效力。</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甲方：【                 】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法定代表人（委托代理人）：【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 xml:space="preserve"> </w:t>
      </w:r>
    </w:p>
    <w:p>
      <w:pPr>
        <w:spacing w:line="440" w:lineRule="exact"/>
        <w:ind w:left="6240" w:hanging="6240" w:hangingChars="2600"/>
        <w:rPr>
          <w:rFonts w:hint="eastAsia" w:ascii="仿宋" w:hAnsi="仿宋" w:eastAsia="仿宋"/>
          <w:sz w:val="24"/>
          <w:szCs w:val="24"/>
        </w:rPr>
      </w:pPr>
      <w:r>
        <w:rPr>
          <w:rFonts w:hint="eastAsia" w:ascii="仿宋" w:hAnsi="仿宋" w:eastAsia="仿宋"/>
          <w:sz w:val="24"/>
          <w:szCs w:val="24"/>
        </w:rPr>
        <w:t>乙方：【                  】</w:t>
      </w:r>
    </w:p>
    <w:p>
      <w:pPr>
        <w:spacing w:line="440" w:lineRule="exact"/>
        <w:rPr>
          <w:rFonts w:hint="eastAsia" w:ascii="仿宋" w:hAnsi="仿宋" w:eastAsia="仿宋"/>
          <w:sz w:val="24"/>
          <w:szCs w:val="24"/>
        </w:rPr>
      </w:pPr>
      <w:r>
        <w:rPr>
          <w:rFonts w:hint="eastAsia" w:ascii="仿宋" w:hAnsi="仿宋" w:eastAsia="仿宋"/>
          <w:sz w:val="24"/>
          <w:szCs w:val="24"/>
        </w:rPr>
        <w:t xml:space="preserve"> </w:t>
      </w:r>
    </w:p>
    <w:p>
      <w:pPr>
        <w:spacing w:line="440" w:lineRule="exact"/>
        <w:rPr>
          <w:rFonts w:hint="eastAsia" w:ascii="仿宋" w:hAnsi="仿宋" w:eastAsia="仿宋"/>
          <w:sz w:val="24"/>
          <w:szCs w:val="24"/>
        </w:rPr>
      </w:pPr>
      <w:r>
        <w:rPr>
          <w:rFonts w:hint="eastAsia" w:ascii="仿宋" w:hAnsi="仿宋" w:eastAsia="仿宋"/>
          <w:sz w:val="24"/>
          <w:szCs w:val="24"/>
        </w:rPr>
        <w:t>法定代表人（委托代理人）：【     】</w:t>
      </w:r>
    </w:p>
    <w:p>
      <w:pP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br w:type="page"/>
      </w:r>
    </w:p>
    <w:p>
      <w:pPr>
        <w:pStyle w:val="27"/>
        <w:spacing w:line="360" w:lineRule="auto"/>
        <w:ind w:firstLine="0" w:firstLineChars="0"/>
        <w:jc w:val="center"/>
        <w:rPr>
          <w:rFonts w:hint="eastAsia" w:ascii="楷体" w:hAnsi="楷体" w:eastAsia="楷体" w:cs="楷体"/>
          <w:b/>
          <w:bCs/>
          <w:kern w:val="44"/>
          <w:sz w:val="24"/>
          <w:szCs w:val="24"/>
        </w:rPr>
      </w:pPr>
      <w:r>
        <w:rPr>
          <w:rFonts w:hint="eastAsia" w:ascii="楷体" w:hAnsi="楷体" w:eastAsia="楷体" w:cs="楷体"/>
          <w:b/>
          <w:bCs/>
          <w:kern w:val="44"/>
          <w:sz w:val="24"/>
          <w:szCs w:val="24"/>
        </w:rPr>
        <w:t>第</w:t>
      </w:r>
      <w:r>
        <w:rPr>
          <w:rFonts w:hint="eastAsia" w:ascii="楷体" w:hAnsi="楷体" w:eastAsia="楷体" w:cs="楷体"/>
          <w:b/>
          <w:bCs/>
          <w:kern w:val="44"/>
          <w:sz w:val="24"/>
          <w:szCs w:val="24"/>
          <w:lang w:val="en-US" w:eastAsia="zh-CN"/>
        </w:rPr>
        <w:t>四</w:t>
      </w:r>
      <w:r>
        <w:rPr>
          <w:rFonts w:hint="eastAsia" w:ascii="楷体" w:hAnsi="楷体" w:eastAsia="楷体" w:cs="楷体"/>
          <w:b/>
          <w:bCs/>
          <w:kern w:val="44"/>
          <w:sz w:val="24"/>
          <w:szCs w:val="24"/>
        </w:rPr>
        <w:t>章报价书</w:t>
      </w:r>
    </w:p>
    <w:p>
      <w:pPr>
        <w:pStyle w:val="27"/>
        <w:spacing w:line="360" w:lineRule="auto"/>
        <w:ind w:firstLine="0" w:firstLineChars="0"/>
        <w:jc w:val="center"/>
        <w:rPr>
          <w:rFonts w:hint="default" w:ascii="楷体" w:hAnsi="楷体" w:eastAsia="楷体" w:cs="楷体"/>
          <w:b/>
          <w:bCs/>
          <w:kern w:val="44"/>
          <w:sz w:val="24"/>
          <w:szCs w:val="24"/>
          <w:lang w:val="en-US" w:eastAsia="zh-CN"/>
        </w:rPr>
      </w:pPr>
      <w:r>
        <w:rPr>
          <w:rFonts w:hint="eastAsia" w:ascii="楷体" w:hAnsi="楷体" w:eastAsia="楷体" w:cs="楷体"/>
          <w:b/>
          <w:bCs/>
          <w:kern w:val="44"/>
          <w:sz w:val="24"/>
          <w:szCs w:val="24"/>
          <w:lang w:val="en-US" w:eastAsia="zh-CN"/>
        </w:rPr>
        <w:t>报价表</w:t>
      </w:r>
    </w:p>
    <w:p>
      <w:pPr>
        <w:pStyle w:val="27"/>
        <w:keepNext w:val="0"/>
        <w:keepLines w:val="0"/>
        <w:pageBreakBefore w:val="0"/>
        <w:numPr>
          <w:ilvl w:val="0"/>
          <w:numId w:val="4"/>
        </w:numPr>
        <w:kinsoku/>
        <w:wordWrap/>
        <w:overflowPunct/>
        <w:topLinePunct w:val="0"/>
        <w:autoSpaceDE/>
        <w:autoSpaceDN/>
        <w:bidi w:val="0"/>
        <w:adjustRightInd/>
        <w:snapToGrid/>
        <w:spacing w:line="400" w:lineRule="exact"/>
        <w:ind w:firstLine="0" w:firstLineChars="0"/>
        <w:rPr>
          <w:rFonts w:hint="eastAsia" w:ascii="楷体" w:hAnsi="楷体" w:eastAsia="楷体" w:cs="楷体"/>
          <w:sz w:val="24"/>
          <w:szCs w:val="24"/>
        </w:rPr>
      </w:pPr>
      <w:r>
        <w:rPr>
          <w:rFonts w:hint="eastAsia" w:ascii="楷体" w:hAnsi="楷体" w:eastAsia="楷体" w:cs="楷体"/>
          <w:sz w:val="24"/>
          <w:szCs w:val="24"/>
        </w:rPr>
        <w:t>本合同计价货币、结算货币和支付货币均为人民币。</w:t>
      </w:r>
    </w:p>
    <w:p>
      <w:pPr>
        <w:pStyle w:val="27"/>
        <w:keepNext w:val="0"/>
        <w:keepLines w:val="0"/>
        <w:pageBreakBefore w:val="0"/>
        <w:numPr>
          <w:ilvl w:val="0"/>
          <w:numId w:val="4"/>
        </w:numPr>
        <w:kinsoku/>
        <w:wordWrap/>
        <w:overflowPunct/>
        <w:topLinePunct w:val="0"/>
        <w:autoSpaceDE/>
        <w:autoSpaceDN/>
        <w:bidi w:val="0"/>
        <w:adjustRightInd/>
        <w:snapToGrid/>
        <w:spacing w:line="400" w:lineRule="exact"/>
        <w:ind w:left="0" w:leftChars="0" w:firstLine="0" w:firstLineChars="0"/>
        <w:rPr>
          <w:rFonts w:hint="eastAsia" w:ascii="楷体" w:hAnsi="楷体" w:eastAsia="楷体" w:cs="楷体"/>
          <w:sz w:val="24"/>
          <w:szCs w:val="24"/>
          <w:lang w:val="en-US" w:eastAsia="zh-CN"/>
        </w:rPr>
      </w:pPr>
      <w:r>
        <w:rPr>
          <w:rFonts w:hint="eastAsia" w:ascii="楷体" w:hAnsi="楷体" w:eastAsia="楷体" w:cs="楷体"/>
          <w:sz w:val="24"/>
          <w:szCs w:val="24"/>
        </w:rPr>
        <w:t>合同结算单价</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共1种付款方式</w:t>
      </w:r>
      <w:r>
        <w:rPr>
          <w:rFonts w:hint="eastAsia" w:ascii="楷体" w:hAnsi="楷体" w:eastAsia="楷体" w:cs="楷体"/>
          <w:sz w:val="24"/>
          <w:szCs w:val="24"/>
          <w:lang w:eastAsia="zh-CN"/>
        </w:rPr>
        <w:t>）</w:t>
      </w:r>
    </w:p>
    <w:p>
      <w:pPr>
        <w:pStyle w:val="27"/>
        <w:keepNext w:val="0"/>
        <w:keepLines w:val="0"/>
        <w:pageBreakBefore w:val="0"/>
        <w:numPr>
          <w:ilvl w:val="0"/>
          <w:numId w:val="5"/>
        </w:numPr>
        <w:kinsoku/>
        <w:wordWrap/>
        <w:overflowPunct/>
        <w:topLinePunct w:val="0"/>
        <w:autoSpaceDE/>
        <w:autoSpaceDN/>
        <w:bidi w:val="0"/>
        <w:adjustRightInd/>
        <w:snapToGrid/>
        <w:spacing w:line="400" w:lineRule="exact"/>
        <w:ind w:firstLine="0" w:firstLineChars="0"/>
        <w:rPr>
          <w:rFonts w:hint="eastAsia" w:ascii="楷体" w:hAnsi="楷体" w:eastAsia="楷体" w:cs="楷体"/>
          <w:sz w:val="24"/>
          <w:szCs w:val="24"/>
          <w:lang w:eastAsia="zh-CN"/>
        </w:rPr>
      </w:pPr>
      <w:r>
        <w:rPr>
          <w:rFonts w:hint="eastAsia" w:ascii="楷体" w:hAnsi="楷体" w:eastAsia="楷体" w:cs="楷体"/>
          <w:sz w:val="24"/>
          <w:szCs w:val="24"/>
        </w:rPr>
        <w:t>货物</w:t>
      </w:r>
      <w:r>
        <w:rPr>
          <w:rFonts w:hint="eastAsia" w:ascii="楷体" w:hAnsi="楷体" w:eastAsia="楷体" w:cs="楷体"/>
          <w:sz w:val="24"/>
          <w:szCs w:val="24"/>
          <w:lang w:val="en-US" w:eastAsia="zh-CN"/>
        </w:rPr>
        <w:t>固定价</w:t>
      </w:r>
      <w:r>
        <w:rPr>
          <w:rFonts w:hint="eastAsia" w:ascii="楷体" w:hAnsi="楷体" w:eastAsia="楷体" w:cs="楷体"/>
          <w:sz w:val="24"/>
          <w:szCs w:val="24"/>
        </w:rPr>
        <w:t>，具体单价细目详见下表。</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金额单位：元</w:t>
      </w:r>
      <w:r>
        <w:rPr>
          <w:rFonts w:hint="eastAsia" w:ascii="楷体" w:hAnsi="楷体" w:eastAsia="楷体" w:cs="楷体"/>
          <w:sz w:val="24"/>
          <w:szCs w:val="24"/>
          <w:lang w:eastAsia="zh-CN"/>
        </w:rPr>
        <w:t>）</w:t>
      </w:r>
    </w:p>
    <w:tbl>
      <w:tblPr>
        <w:tblStyle w:val="19"/>
        <w:tblW w:w="5173"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70"/>
        <w:gridCol w:w="1393"/>
        <w:gridCol w:w="1811"/>
        <w:gridCol w:w="1435"/>
        <w:gridCol w:w="1340"/>
        <w:gridCol w:w="1497"/>
        <w:gridCol w:w="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 w:hRule="atLeast"/>
        </w:trPr>
        <w:tc>
          <w:tcPr>
            <w:tcW w:w="3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序号</w:t>
            </w:r>
          </w:p>
        </w:tc>
        <w:tc>
          <w:tcPr>
            <w:tcW w:w="789" w:type="pct"/>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kern w:val="0"/>
                <w:sz w:val="24"/>
                <w:szCs w:val="24"/>
                <w:u w:val="none"/>
                <w:lang w:val="en-US" w:eastAsia="zh-CN" w:bidi="ar"/>
              </w:rPr>
              <w:t>品名</w:t>
            </w:r>
          </w:p>
        </w:tc>
        <w:tc>
          <w:tcPr>
            <w:tcW w:w="10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规格型号</w:t>
            </w:r>
          </w:p>
        </w:tc>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单位（吨）</w:t>
            </w:r>
          </w:p>
        </w:tc>
        <w:tc>
          <w:tcPr>
            <w:tcW w:w="1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供货前100%</w:t>
            </w: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3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789" w:type="pct"/>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10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含税单价</w:t>
            </w: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含税总价</w:t>
            </w: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高线</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31" w:line="220"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HPB300 Φ6</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82" w:line="183"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222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盘螺</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31" w:line="220"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HRB400E Φ6</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82" w:line="183"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20</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3</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盘螺</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32" w:line="220"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HRB400E Φ8</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83" w:line="183"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1054</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4</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盘螺</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32" w:line="220"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HRB400E Φ10</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82" w:line="184"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205</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5</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螺纹钢</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33" w:line="220"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HRB400E Φ12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84" w:line="183"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82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6</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螺纹钢</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33" w:line="220"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HRB400E Φ16</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84" w:line="183"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90</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7</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螺纹钢</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33" w:line="220"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HRB400E Φ14</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84" w:line="183"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66</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8</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螺纹钢</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33" w:line="220"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HRB400E Φ18</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83" w:line="184"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102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9</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螺纹钢</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33" w:line="220"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HRB400E Φ20</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83" w:line="184"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112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10</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螺纹钢</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33" w:line="219" w:lineRule="auto"/>
              <w:ind w:left="82" w:leftChars="0"/>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HRB400E Φ22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85" w:line="182"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57</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2"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11</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螺纹钢</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33" w:line="219" w:lineRule="auto"/>
              <w:ind w:left="82" w:leftChars="0"/>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HRB400E Φ25</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84" w:line="183" w:lineRule="auto"/>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140</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12</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螺纹钢</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24" w:line="219" w:lineRule="auto"/>
              <w:ind w:left="82" w:leftChars="0"/>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HRB400E Φ28</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74" w:line="184" w:lineRule="auto"/>
              <w:jc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16</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3"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13</w:t>
            </w:r>
          </w:p>
        </w:tc>
        <w:tc>
          <w:tcPr>
            <w:tcW w:w="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螺纹钢</w:t>
            </w:r>
          </w:p>
        </w:tc>
        <w:tc>
          <w:tcPr>
            <w:tcW w:w="10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34" w:line="219" w:lineRule="auto"/>
              <w:ind w:left="82" w:leftChars="0"/>
              <w:jc w:val="center"/>
              <w:rPr>
                <w:rFonts w:hint="eastAsia" w:ascii="楷体" w:hAnsi="楷体" w:eastAsia="楷体" w:cs="楷体"/>
                <w:i w:val="0"/>
                <w:iCs w:val="0"/>
                <w:color w:val="000000"/>
                <w:sz w:val="24"/>
                <w:szCs w:val="24"/>
                <w:u w:val="none"/>
              </w:rPr>
            </w:pPr>
            <w:r>
              <w:rPr>
                <w:rFonts w:hint="eastAsia" w:ascii="楷体" w:hAnsi="楷体" w:eastAsia="楷体" w:cs="楷体"/>
                <w:sz w:val="24"/>
                <w:szCs w:val="24"/>
              </w:rPr>
              <w:t>HRB400E Φ32</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7"/>
              <w:spacing w:before="185" w:line="183" w:lineRule="auto"/>
              <w:jc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sz w:val="24"/>
                <w:szCs w:val="24"/>
              </w:rPr>
              <w:t>32</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color w:val="000000"/>
                <w:kern w:val="0"/>
                <w:sz w:val="24"/>
                <w:szCs w:val="24"/>
                <w:u w:val="none"/>
                <w:lang w:val="en-US" w:eastAsia="zh-CN" w:bidi="ar"/>
              </w:rPr>
              <w:t>14</w:t>
            </w:r>
          </w:p>
        </w:tc>
        <w:tc>
          <w:tcPr>
            <w:tcW w:w="18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r>
              <w:rPr>
                <w:rFonts w:hint="eastAsia" w:ascii="楷体" w:hAnsi="楷体" w:eastAsia="楷体" w:cs="楷体"/>
                <w:i w:val="0"/>
                <w:iCs w:val="0"/>
                <w:color w:val="000000"/>
                <w:kern w:val="0"/>
                <w:sz w:val="24"/>
                <w:szCs w:val="24"/>
                <w:u w:val="none"/>
                <w:lang w:val="en-US" w:eastAsia="zh-CN" w:bidi="ar"/>
              </w:rPr>
              <w:t>合计</w:t>
            </w:r>
          </w:p>
        </w:tc>
        <w:tc>
          <w:tcPr>
            <w:tcW w:w="8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sz w:val="24"/>
                <w:szCs w:val="24"/>
                <w:u w:val="none"/>
                <w:lang w:val="en-US"/>
              </w:rPr>
            </w:pPr>
            <w:r>
              <w:rPr>
                <w:rFonts w:hint="eastAsia" w:ascii="楷体" w:hAnsi="楷体" w:eastAsia="楷体" w:cs="楷体"/>
                <w:i w:val="0"/>
                <w:iCs w:val="0"/>
                <w:color w:val="000000"/>
                <w:kern w:val="0"/>
                <w:sz w:val="24"/>
                <w:szCs w:val="24"/>
                <w:u w:val="none"/>
                <w:lang w:val="en-US" w:eastAsia="zh-CN" w:bidi="ar"/>
              </w:rPr>
              <w:t>2198</w:t>
            </w:r>
          </w:p>
        </w:tc>
        <w:tc>
          <w:tcPr>
            <w:tcW w:w="7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楷体" w:hAnsi="楷体" w:eastAsia="楷体" w:cs="楷体"/>
                <w:i w:val="0"/>
                <w:iCs w:val="0"/>
                <w:color w:val="000000"/>
                <w:sz w:val="24"/>
                <w:szCs w:val="24"/>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楷体" w:hAnsi="楷体" w:eastAsia="楷体" w:cs="楷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6" w:hRule="atLeast"/>
        </w:trPr>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kern w:val="0"/>
                <w:sz w:val="24"/>
                <w:szCs w:val="24"/>
                <w:u w:val="none"/>
                <w:lang w:val="en-US" w:eastAsia="zh-CN" w:bidi="ar"/>
              </w:rPr>
              <w:t>15</w:t>
            </w:r>
          </w:p>
        </w:tc>
        <w:tc>
          <w:tcPr>
            <w:tcW w:w="26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4"/>
                <w:szCs w:val="24"/>
                <w:u w:val="none"/>
                <w:lang w:val="en-US" w:eastAsia="zh-CN" w:bidi="ar"/>
              </w:rPr>
            </w:pPr>
            <w:r>
              <w:rPr>
                <w:rFonts w:hint="eastAsia" w:ascii="楷体" w:hAnsi="楷体" w:eastAsia="楷体" w:cs="楷体"/>
                <w:i w:val="0"/>
                <w:iCs w:val="0"/>
                <w:color w:val="000000"/>
                <w:sz w:val="24"/>
                <w:szCs w:val="24"/>
                <w:u w:val="none"/>
                <w:lang w:val="en-US" w:eastAsia="zh-CN"/>
              </w:rPr>
              <w:t>增值税专用发票税率</w:t>
            </w:r>
          </w:p>
        </w:tc>
        <w:tc>
          <w:tcPr>
            <w:tcW w:w="204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楷体" w:hAnsi="楷体" w:eastAsia="楷体" w:cs="楷体"/>
                <w:i w:val="0"/>
                <w:iCs w:val="0"/>
                <w:color w:val="000000"/>
                <w:sz w:val="24"/>
                <w:szCs w:val="24"/>
                <w:u w:val="none"/>
                <w:lang w:val="en-US" w:eastAsia="zh-CN"/>
              </w:rPr>
            </w:pPr>
            <w:r>
              <w:rPr>
                <w:rFonts w:hint="eastAsia" w:ascii="楷体" w:hAnsi="楷体" w:eastAsia="楷体" w:cs="楷体"/>
                <w:i w:val="0"/>
                <w:iCs w:val="0"/>
                <w:color w:val="000000"/>
                <w:sz w:val="24"/>
                <w:szCs w:val="24"/>
                <w:u w:val="none"/>
                <w:lang w:val="en-US" w:eastAsia="zh-CN"/>
              </w:rPr>
              <w:t>13%</w:t>
            </w:r>
          </w:p>
        </w:tc>
      </w:tr>
    </w:tbl>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甲方是海南洋浦陆海国际贸易有限公司，乙方是本次本次参加询价进行报价的单位</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宋体" w:hAnsi="宋体" w:eastAsia="宋体" w:cs="宋体"/>
          <w:color w:val="auto"/>
          <w:sz w:val="24"/>
          <w:highlight w:val="none"/>
        </w:rPr>
      </w:pPr>
      <w:r>
        <w:rPr>
          <w:rFonts w:hint="eastAsia" w:ascii="楷体" w:hAnsi="楷体" w:eastAsia="楷体" w:cs="楷体"/>
          <w:sz w:val="24"/>
          <w:szCs w:val="24"/>
          <w:lang w:val="en-US" w:eastAsia="zh-CN"/>
        </w:rPr>
        <w:t>1.1计量方式：螺纹钢、盘螺、高线按照过磅计重，计量保留小数点后三位数据。甲方对乙方运达工地的钢材按过磅计量收货，磅差在正负3‰以内按出库数量为准。因钢材过磅数量发生争议时，双方约定送至第三方复检，若磅差在3‰以内，则以乙方提供的数量为准，复磅费及由此产生的费用由甲方承担；若磅差超过3‰，则以第三方复检结果为准，复磅费及由此产生的费用由乙方承担。</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1.2付款方式：乙方在接到甲方下单货物后，乙方按下单当天的结算单价提供对应货物的预付款保函至甲方，甲方在货物发货前支付货物价款100%费用。(如甲方采用银行承兑汇票的支付方式，银行承兑汇票贴现利息由甲方承担)</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left"/>
        <w:textAlignment w:val="auto"/>
        <w:rPr>
          <w:rFonts w:hint="default" w:ascii="楷体" w:hAnsi="楷体" w:eastAsia="楷体" w:cs="楷体"/>
          <w:sz w:val="24"/>
          <w:szCs w:val="24"/>
          <w:lang w:val="en-US" w:eastAsia="zh-CN"/>
        </w:rPr>
      </w:pPr>
      <w:r>
        <w:rPr>
          <w:rFonts w:hint="eastAsia" w:ascii="楷体" w:hAnsi="楷体" w:eastAsia="楷体" w:cs="楷体"/>
          <w:i w:val="0"/>
          <w:iCs w:val="0"/>
          <w:kern w:val="2"/>
          <w:sz w:val="24"/>
          <w:szCs w:val="24"/>
          <w:lang w:val="en-US" w:eastAsia="zh-CN" w:bidi="ar-SA"/>
        </w:rPr>
        <w:t>1.3交货日期：乙方收到订单后3天内将货物送达该项目指定地点。</w:t>
      </w:r>
    </w:p>
    <w:p>
      <w:pPr>
        <w:pStyle w:val="27"/>
        <w:keepNext w:val="0"/>
        <w:keepLines w:val="0"/>
        <w:pageBreakBefore w:val="0"/>
        <w:widowControl w:val="0"/>
        <w:kinsoku/>
        <w:wordWrap/>
        <w:overflowPunct/>
        <w:topLinePunct w:val="0"/>
        <w:autoSpaceDE/>
        <w:autoSpaceDN/>
        <w:bidi w:val="0"/>
        <w:adjustRightInd/>
        <w:snapToGrid/>
        <w:spacing w:line="240" w:lineRule="auto"/>
        <w:ind w:firstLine="480" w:firstLineChars="0"/>
        <w:textAlignment w:val="auto"/>
        <w:rPr>
          <w:rFonts w:hint="eastAsia" w:ascii="楷体" w:hAnsi="楷体" w:eastAsia="楷体" w:cs="楷体"/>
          <w:i w:val="0"/>
          <w:iCs w:val="0"/>
          <w:sz w:val="24"/>
          <w:szCs w:val="24"/>
          <w:lang w:val="en-US" w:eastAsia="zh-CN"/>
        </w:rPr>
      </w:pPr>
      <w:r>
        <w:rPr>
          <w:rFonts w:hint="eastAsia" w:ascii="楷体" w:hAnsi="楷体" w:eastAsia="楷体" w:cs="楷体"/>
          <w:i w:val="0"/>
          <w:iCs w:val="0"/>
          <w:sz w:val="24"/>
          <w:szCs w:val="24"/>
          <w:lang w:val="en-US" w:eastAsia="zh-CN"/>
        </w:rPr>
        <w:t>1.4 合同以甲方合同范本为准。</w:t>
      </w:r>
    </w:p>
    <w:p>
      <w:pPr>
        <w:keepNext w:val="0"/>
        <w:keepLines w:val="0"/>
        <w:pageBreakBefore w:val="0"/>
        <w:widowControl w:val="0"/>
        <w:tabs>
          <w:tab w:val="left" w:pos="709"/>
        </w:tabs>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1.5</w:t>
      </w:r>
      <w:r>
        <w:rPr>
          <w:rFonts w:hint="eastAsia" w:ascii="楷体" w:hAnsi="楷体" w:eastAsia="楷体" w:cs="楷体"/>
          <w:sz w:val="24"/>
          <w:szCs w:val="24"/>
        </w:rPr>
        <w:t>报价评分标准</w:t>
      </w:r>
      <w:r>
        <w:rPr>
          <w:rFonts w:hint="eastAsia" w:ascii="楷体" w:hAnsi="楷体" w:eastAsia="楷体" w:cs="楷体"/>
          <w:sz w:val="24"/>
          <w:szCs w:val="24"/>
          <w:lang w:eastAsia="zh-CN"/>
        </w:rPr>
        <w:t>：</w:t>
      </w:r>
    </w:p>
    <w:p>
      <w:pPr>
        <w:keepNext w:val="0"/>
        <w:keepLines w:val="0"/>
        <w:pageBreakBefore w:val="0"/>
        <w:widowControl w:val="0"/>
        <w:tabs>
          <w:tab w:val="left" w:pos="709"/>
        </w:tabs>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1.投标单价（A1）=投标基准价（B1）+浮动价（N）</w:t>
      </w:r>
    </w:p>
    <w:p>
      <w:pPr>
        <w:keepNext w:val="0"/>
        <w:keepLines w:val="0"/>
        <w:pageBreakBefore w:val="0"/>
        <w:widowControl w:val="0"/>
        <w:tabs>
          <w:tab w:val="left" w:pos="709"/>
        </w:tabs>
        <w:kinsoku/>
        <w:wordWrap/>
        <w:overflowPunct/>
        <w:topLinePunct w:val="0"/>
        <w:autoSpaceDE/>
        <w:autoSpaceDN/>
        <w:bidi w:val="0"/>
        <w:adjustRightInd/>
        <w:snapToGrid/>
        <w:spacing w:line="400" w:lineRule="exact"/>
        <w:ind w:firstLine="480" w:firstLineChars="200"/>
        <w:textAlignment w:val="auto"/>
        <w:rPr>
          <w:rFonts w:hint="default" w:ascii="楷体" w:hAnsi="楷体" w:eastAsia="楷体" w:cs="楷体"/>
          <w:sz w:val="24"/>
          <w:szCs w:val="24"/>
          <w:lang w:val="en-US" w:eastAsia="zh-CN"/>
        </w:rPr>
      </w:pPr>
      <w:r>
        <w:rPr>
          <w:rFonts w:hint="eastAsia" w:ascii="楷体" w:hAnsi="楷体" w:eastAsia="楷体" w:cs="楷体"/>
          <w:sz w:val="24"/>
          <w:szCs w:val="24"/>
          <w:lang w:eastAsia="zh-CN"/>
        </w:rPr>
        <w:t>2.投标单价（A1）：每吨钢材到货单价（包含但不限于材料费、试验费（出厂前的）、包装费、搬运费、储存费、装卸车费、服务费及售后服务费等以及所有相关税费）；</w:t>
      </w:r>
    </w:p>
    <w:p>
      <w:pPr>
        <w:keepNext w:val="0"/>
        <w:keepLines w:val="0"/>
        <w:pageBreakBefore w:val="0"/>
        <w:widowControl w:val="0"/>
        <w:tabs>
          <w:tab w:val="left" w:pos="709"/>
        </w:tabs>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3.投标基准价（B1）: 本次招标所有规格钢材的投标基准价暂定以</w:t>
      </w:r>
      <w:r>
        <w:rPr>
          <w:rFonts w:hint="eastAsia" w:ascii="楷体" w:hAnsi="楷体" w:eastAsia="楷体" w:cs="楷体"/>
          <w:sz w:val="24"/>
          <w:szCs w:val="24"/>
          <w:highlight w:val="none"/>
          <w:lang w:eastAsia="zh-CN"/>
        </w:rPr>
        <w:t>4</w:t>
      </w:r>
      <w:r>
        <w:rPr>
          <w:rFonts w:hint="eastAsia" w:ascii="楷体" w:hAnsi="楷体" w:eastAsia="楷体" w:cs="楷体"/>
          <w:sz w:val="24"/>
          <w:szCs w:val="24"/>
          <w:highlight w:val="none"/>
          <w:lang w:val="en-US" w:eastAsia="zh-CN"/>
        </w:rPr>
        <w:t>1</w:t>
      </w:r>
      <w:r>
        <w:rPr>
          <w:rFonts w:hint="eastAsia" w:ascii="楷体" w:hAnsi="楷体" w:eastAsia="楷体" w:cs="楷体"/>
          <w:sz w:val="24"/>
          <w:szCs w:val="24"/>
          <w:highlight w:val="none"/>
          <w:lang w:eastAsia="zh-CN"/>
        </w:rPr>
        <w:t>00元/吨</w:t>
      </w:r>
      <w:r>
        <w:rPr>
          <w:rFonts w:hint="eastAsia" w:ascii="楷体" w:hAnsi="楷体" w:eastAsia="楷体" w:cs="楷体"/>
          <w:sz w:val="24"/>
          <w:szCs w:val="24"/>
          <w:lang w:eastAsia="zh-CN"/>
        </w:rPr>
        <w:t>为基准。此单价仅用于本次招标开标时核算总价的依据，不作为将来中标后合同结算依据；</w:t>
      </w:r>
    </w:p>
    <w:p>
      <w:pPr>
        <w:keepNext w:val="0"/>
        <w:keepLines w:val="0"/>
        <w:pageBreakBefore w:val="0"/>
        <w:widowControl w:val="0"/>
        <w:tabs>
          <w:tab w:val="left" w:pos="709"/>
        </w:tabs>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sz w:val="24"/>
          <w:szCs w:val="24"/>
          <w:lang w:eastAsia="zh-CN"/>
        </w:rPr>
      </w:pPr>
      <w:r>
        <w:rPr>
          <w:rFonts w:hint="eastAsia" w:ascii="楷体" w:hAnsi="楷体" w:eastAsia="楷体" w:cs="楷体"/>
          <w:sz w:val="24"/>
          <w:szCs w:val="24"/>
          <w:lang w:eastAsia="zh-CN"/>
        </w:rPr>
        <w:t>4.浮动价（N）：由供应商根据本单位情况综合考虑在投标基准价（B1）的基础上进行下浮的价格，包括但不限于运费、杂费、税费、利润、装卸车费、搬运费等一切费用，由中标人在投标报价时报出，全部供应期内浮动价（N）固定不变。</w:t>
      </w:r>
      <w:r>
        <w:rPr>
          <w:rFonts w:hint="eastAsia" w:ascii="楷体" w:hAnsi="楷体" w:eastAsia="楷体" w:cs="楷体"/>
          <w:sz w:val="24"/>
          <w:szCs w:val="24"/>
          <w:lang w:val="en-US" w:eastAsia="zh-CN"/>
        </w:rPr>
        <w:t>所有钢筋按</w:t>
      </w:r>
      <w:r>
        <w:rPr>
          <w:rFonts w:hint="eastAsia" w:ascii="楷体" w:hAnsi="楷体" w:eastAsia="楷体" w:cs="楷体"/>
          <w:sz w:val="24"/>
          <w:szCs w:val="24"/>
          <w:lang w:eastAsia="zh-CN"/>
        </w:rPr>
        <w:t>过磅计重。</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br w:type="page"/>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附件一：</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ind w:firstLine="3614" w:firstLineChars="1500"/>
        <w:jc w:val="both"/>
        <w:textAlignment w:val="auto"/>
        <w:rPr>
          <w:rFonts w:hint="eastAsia" w:ascii="楷体" w:hAnsi="楷体" w:eastAsia="楷体" w:cs="楷体"/>
          <w:sz w:val="24"/>
          <w:szCs w:val="24"/>
        </w:rPr>
      </w:pPr>
      <w:r>
        <w:rPr>
          <w:rFonts w:hint="eastAsia" w:ascii="楷体" w:hAnsi="楷体" w:eastAsia="楷体" w:cs="楷体"/>
          <w:sz w:val="24"/>
          <w:szCs w:val="24"/>
          <w:lang w:val="en-US" w:eastAsia="zh-CN"/>
        </w:rPr>
        <w:t>报价</w:t>
      </w:r>
      <w:r>
        <w:rPr>
          <w:rFonts w:hint="eastAsia" w:ascii="楷体" w:hAnsi="楷体" w:eastAsia="楷体" w:cs="楷体"/>
          <w:sz w:val="24"/>
          <w:szCs w:val="24"/>
        </w:rPr>
        <w:t>承诺函</w:t>
      </w:r>
      <w:bookmarkEnd w:id="10"/>
      <w:bookmarkEnd w:id="11"/>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b w:val="0"/>
          <w:bCs/>
          <w:kern w:val="2"/>
          <w:sz w:val="24"/>
          <w:szCs w:val="24"/>
          <w:lang w:val="en-US" w:eastAsia="zh-CN" w:bidi="ar-SA"/>
        </w:rPr>
      </w:pP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both"/>
        <w:textAlignment w:val="auto"/>
        <w:rPr>
          <w:rFonts w:hint="eastAsia" w:ascii="楷体" w:hAnsi="楷体" w:eastAsia="楷体" w:cs="楷体"/>
          <w:b w:val="0"/>
          <w:bCs/>
          <w:kern w:val="2"/>
          <w:sz w:val="24"/>
          <w:szCs w:val="24"/>
          <w:lang w:val="en-US" w:eastAsia="zh-CN" w:bidi="ar-SA"/>
        </w:rPr>
      </w:pPr>
      <w:r>
        <w:rPr>
          <w:rFonts w:hint="eastAsia" w:ascii="楷体" w:hAnsi="楷体" w:eastAsia="楷体" w:cs="楷体"/>
          <w:b w:val="0"/>
          <w:bCs/>
          <w:kern w:val="2"/>
          <w:sz w:val="24"/>
          <w:szCs w:val="24"/>
          <w:lang w:val="en-US" w:eastAsia="zh-CN" w:bidi="ar-SA"/>
        </w:rPr>
        <w:t>海南洋浦陆海国际贸易有限公司：</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 xml:space="preserve">    我单位对贵单位所发的</w:t>
      </w:r>
      <w:r>
        <w:rPr>
          <w:rFonts w:hint="eastAsia" w:ascii="楷体" w:hAnsi="楷体" w:eastAsia="楷体" w:cs="楷体"/>
          <w:bCs/>
          <w:sz w:val="24"/>
          <w:szCs w:val="24"/>
          <w:lang w:val="en-US" w:eastAsia="zh-CN"/>
        </w:rPr>
        <w:t>公开询价报价</w:t>
      </w:r>
      <w:r>
        <w:rPr>
          <w:rFonts w:hint="eastAsia" w:ascii="楷体" w:hAnsi="楷体" w:eastAsia="楷体" w:cs="楷体"/>
          <w:bCs/>
          <w:sz w:val="24"/>
          <w:szCs w:val="24"/>
        </w:rPr>
        <w:t>文件所有条款予以确认，并进一步承诺如下：</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1、我单位所报的单价，已充分考虑了</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文件及采购合同要求</w:t>
      </w:r>
      <w:r>
        <w:rPr>
          <w:rFonts w:hint="eastAsia" w:ascii="楷体" w:hAnsi="楷体" w:eastAsia="楷体" w:cs="楷体"/>
          <w:bCs/>
          <w:sz w:val="24"/>
          <w:szCs w:val="24"/>
          <w:lang w:eastAsia="zh-CN"/>
        </w:rPr>
        <w:t>成交</w:t>
      </w:r>
      <w:r>
        <w:rPr>
          <w:rFonts w:hint="eastAsia" w:ascii="楷体" w:hAnsi="楷体" w:eastAsia="楷体" w:cs="楷体"/>
          <w:bCs/>
          <w:sz w:val="24"/>
          <w:szCs w:val="24"/>
        </w:rPr>
        <w:t>单位应承担的所有义务及风险，由此造成或可能造成的费用我方已包含在报价中。</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2、若我单位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，除非贵单位要求，我单位将不主动要求调整采购合同条款。否则，贵单位可以随时取消我单位的</w:t>
      </w:r>
      <w:r>
        <w:rPr>
          <w:rFonts w:hint="eastAsia" w:ascii="楷体" w:hAnsi="楷体" w:eastAsia="楷体" w:cs="楷体"/>
          <w:bCs/>
          <w:sz w:val="24"/>
          <w:szCs w:val="24"/>
          <w:lang w:eastAsia="zh-CN"/>
        </w:rPr>
        <w:t>成交</w:t>
      </w:r>
      <w:r>
        <w:rPr>
          <w:rFonts w:hint="eastAsia" w:ascii="楷体" w:hAnsi="楷体" w:eastAsia="楷体" w:cs="楷体"/>
          <w:bCs/>
          <w:sz w:val="24"/>
          <w:szCs w:val="24"/>
        </w:rPr>
        <w:t>资格。</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3、我单位承诺不会因贵方对采购合同中的承包范围的调整而产生的异议。</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4、我单位的《</w:t>
      </w:r>
      <w:r>
        <w:rPr>
          <w:rFonts w:hint="eastAsia" w:ascii="楷体" w:hAnsi="楷体" w:eastAsia="楷体" w:cs="楷体"/>
          <w:bCs/>
          <w:sz w:val="24"/>
          <w:szCs w:val="24"/>
          <w:lang w:val="en-US" w:eastAsia="zh-CN"/>
        </w:rPr>
        <w:t>报价</w:t>
      </w:r>
      <w:r>
        <w:rPr>
          <w:rFonts w:hint="eastAsia" w:ascii="楷体" w:hAnsi="楷体" w:eastAsia="楷体" w:cs="楷体"/>
          <w:bCs/>
          <w:sz w:val="24"/>
          <w:szCs w:val="24"/>
        </w:rPr>
        <w:t>承诺函》，将作为合同的组成部分。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5、若我单位没有</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，我单位将不要求贵方做任何解释。</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6</w:t>
      </w:r>
      <w:r>
        <w:rPr>
          <w:rFonts w:hint="eastAsia" w:ascii="楷体" w:hAnsi="楷体" w:eastAsia="楷体" w:cs="楷体"/>
          <w:bCs/>
          <w:sz w:val="24"/>
          <w:szCs w:val="24"/>
        </w:rPr>
        <w:t>、若我单位</w:t>
      </w:r>
      <w:r>
        <w:rPr>
          <w:rFonts w:hint="eastAsia" w:ascii="楷体" w:hAnsi="楷体" w:eastAsia="楷体" w:cs="楷体"/>
          <w:bCs/>
          <w:sz w:val="24"/>
          <w:szCs w:val="24"/>
          <w:lang w:eastAsia="zh-CN"/>
        </w:rPr>
        <w:t>成交</w:t>
      </w:r>
      <w:r>
        <w:rPr>
          <w:rFonts w:hint="eastAsia" w:ascii="楷体" w:hAnsi="楷体" w:eastAsia="楷体" w:cs="楷体"/>
          <w:bCs/>
          <w:sz w:val="24"/>
          <w:szCs w:val="24"/>
        </w:rPr>
        <w:t>，我单位同意本确认函及所有文件作为合同的组成部分，与供货合同具有同样的法律效力。</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highlight w:val="none"/>
        </w:rPr>
      </w:pPr>
      <w:r>
        <w:rPr>
          <w:rFonts w:hint="eastAsia" w:ascii="楷体" w:hAnsi="楷体" w:eastAsia="楷体" w:cs="楷体"/>
          <w:bCs/>
          <w:sz w:val="24"/>
          <w:szCs w:val="24"/>
          <w:highlight w:val="none"/>
          <w:lang w:val="en-US" w:eastAsia="zh-CN"/>
        </w:rPr>
        <w:t>7</w:t>
      </w:r>
      <w:r>
        <w:rPr>
          <w:rFonts w:hint="eastAsia" w:ascii="楷体" w:hAnsi="楷体" w:eastAsia="楷体" w:cs="楷体"/>
          <w:bCs/>
          <w:sz w:val="24"/>
          <w:szCs w:val="24"/>
          <w:highlight w:val="none"/>
        </w:rPr>
        <w:t>、我单位将严格按照</w:t>
      </w:r>
      <w:r>
        <w:rPr>
          <w:rFonts w:hint="eastAsia" w:ascii="楷体" w:hAnsi="楷体" w:eastAsia="楷体" w:cs="楷体"/>
          <w:bCs/>
          <w:sz w:val="24"/>
          <w:szCs w:val="24"/>
          <w:highlight w:val="none"/>
          <w:lang w:eastAsia="zh-CN"/>
        </w:rPr>
        <w:t>贵单位</w:t>
      </w:r>
      <w:r>
        <w:rPr>
          <w:rFonts w:hint="eastAsia" w:ascii="楷体" w:hAnsi="楷体" w:eastAsia="楷体" w:cs="楷体"/>
          <w:bCs/>
          <w:sz w:val="24"/>
          <w:szCs w:val="24"/>
          <w:highlight w:val="none"/>
        </w:rPr>
        <w:t>的要求提供工程所需材料</w:t>
      </w:r>
      <w:r>
        <w:rPr>
          <w:rFonts w:hint="eastAsia" w:ascii="楷体" w:hAnsi="楷体" w:eastAsia="楷体" w:cs="楷体"/>
          <w:bCs/>
          <w:sz w:val="24"/>
          <w:szCs w:val="24"/>
          <w:highlight w:val="none"/>
          <w:lang w:eastAsia="zh-CN"/>
        </w:rPr>
        <w:t>及品牌要求</w:t>
      </w:r>
      <w:r>
        <w:rPr>
          <w:rFonts w:hint="eastAsia" w:ascii="楷体" w:hAnsi="楷体" w:eastAsia="楷体" w:cs="楷体"/>
          <w:bCs/>
          <w:sz w:val="24"/>
          <w:szCs w:val="24"/>
          <w:highlight w:val="none"/>
        </w:rPr>
        <w:t>，在供货过程中</w:t>
      </w:r>
      <w:r>
        <w:rPr>
          <w:rFonts w:hint="eastAsia" w:ascii="楷体" w:hAnsi="楷体" w:eastAsia="楷体" w:cs="楷体"/>
          <w:bCs/>
          <w:sz w:val="24"/>
          <w:szCs w:val="24"/>
          <w:highlight w:val="none"/>
          <w:lang w:eastAsia="zh-CN"/>
        </w:rPr>
        <w:t>确保材料复试检测合格，如</w:t>
      </w:r>
      <w:r>
        <w:rPr>
          <w:rFonts w:hint="eastAsia" w:ascii="楷体" w:hAnsi="楷体" w:eastAsia="楷体" w:cs="楷体"/>
          <w:bCs/>
          <w:sz w:val="24"/>
          <w:szCs w:val="24"/>
          <w:highlight w:val="none"/>
        </w:rPr>
        <w:t>出现质量问题我单位将及时调换合格材料进场，如因材料质量问题而造成工期延误，我单位承诺接受</w:t>
      </w:r>
      <w:r>
        <w:rPr>
          <w:rFonts w:hint="eastAsia" w:ascii="楷体" w:hAnsi="楷体" w:eastAsia="楷体" w:cs="楷体"/>
          <w:bCs/>
          <w:sz w:val="24"/>
          <w:szCs w:val="24"/>
          <w:highlight w:val="none"/>
          <w:lang w:val="en-US" w:eastAsia="zh-CN"/>
        </w:rPr>
        <w:t>按照合同违约条款进行处罚</w:t>
      </w:r>
      <w:r>
        <w:rPr>
          <w:rFonts w:hint="eastAsia" w:ascii="楷体" w:hAnsi="楷体" w:eastAsia="楷体" w:cs="楷体"/>
          <w:bCs/>
          <w:sz w:val="24"/>
          <w:szCs w:val="24"/>
          <w:highlight w:val="none"/>
        </w:rPr>
        <w:t>，在供货过程中保证供应材料为</w:t>
      </w:r>
      <w:r>
        <w:rPr>
          <w:rFonts w:hint="eastAsia" w:ascii="楷体" w:hAnsi="楷体" w:eastAsia="楷体" w:cs="楷体"/>
          <w:bCs/>
          <w:sz w:val="24"/>
          <w:szCs w:val="24"/>
          <w:highlight w:val="none"/>
          <w:lang w:eastAsia="zh-CN"/>
        </w:rPr>
        <w:t>询比价</w:t>
      </w:r>
      <w:r>
        <w:rPr>
          <w:rFonts w:hint="eastAsia" w:ascii="楷体" w:hAnsi="楷体" w:eastAsia="楷体" w:cs="楷体"/>
          <w:bCs/>
          <w:sz w:val="24"/>
          <w:szCs w:val="24"/>
          <w:highlight w:val="none"/>
        </w:rPr>
        <w:t>文件中要求的厂家生产的合格材料，各类质量资料随货同行，并保证各类质量资料真实有效。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highlight w:val="none"/>
          <w:lang w:val="en-US" w:eastAsia="zh-CN"/>
        </w:rPr>
      </w:pPr>
      <w:r>
        <w:rPr>
          <w:rFonts w:hint="eastAsia" w:ascii="楷体" w:hAnsi="楷体" w:eastAsia="楷体" w:cs="楷体"/>
          <w:bCs/>
          <w:sz w:val="24"/>
          <w:szCs w:val="24"/>
          <w:highlight w:val="none"/>
          <w:lang w:val="en-US" w:eastAsia="zh-CN"/>
        </w:rPr>
        <w:t>8</w:t>
      </w:r>
      <w:r>
        <w:rPr>
          <w:rFonts w:hint="eastAsia" w:ascii="楷体" w:hAnsi="楷体" w:eastAsia="楷体" w:cs="楷体"/>
          <w:bCs/>
          <w:sz w:val="24"/>
          <w:szCs w:val="24"/>
          <w:highlight w:val="none"/>
        </w:rPr>
        <w:t>、在供应时间上将严格按项目要求时间组织材料进场，我单位的保证措施是根据进场时间和规格型号要求提前做好备料，确因某些型号材料短期缺货将积极配合项目与业主监理协商沟通进行替换。如因材料进场时间问题而造成工期延误，我单位承诺接受</w:t>
      </w:r>
      <w:r>
        <w:rPr>
          <w:rFonts w:hint="eastAsia" w:ascii="楷体" w:hAnsi="楷体" w:eastAsia="楷体" w:cs="楷体"/>
          <w:bCs/>
          <w:sz w:val="24"/>
          <w:szCs w:val="24"/>
          <w:highlight w:val="none"/>
          <w:lang w:val="en-US" w:eastAsia="zh-CN"/>
        </w:rPr>
        <w:t>按照合同违约条款进行处罚。</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9</w:t>
      </w:r>
      <w:r>
        <w:rPr>
          <w:rFonts w:hint="eastAsia" w:ascii="楷体" w:hAnsi="楷体" w:eastAsia="楷体" w:cs="楷体"/>
          <w:bCs/>
          <w:sz w:val="24"/>
          <w:szCs w:val="24"/>
        </w:rPr>
        <w:t>、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0</w:t>
      </w:r>
      <w:r>
        <w:rPr>
          <w:rFonts w:hint="eastAsia" w:ascii="楷体" w:hAnsi="楷体" w:eastAsia="楷体" w:cs="楷体"/>
          <w:bCs/>
          <w:sz w:val="24"/>
          <w:szCs w:val="24"/>
        </w:rPr>
        <w:t>、我单位郑重承诺：我单位对</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单位提供的</w:t>
      </w:r>
      <w:r>
        <w:rPr>
          <w:rFonts w:hint="eastAsia" w:ascii="楷体" w:hAnsi="楷体" w:eastAsia="楷体" w:cs="楷体"/>
          <w:bCs/>
          <w:sz w:val="24"/>
          <w:szCs w:val="24"/>
          <w:lang w:eastAsia="zh-CN"/>
        </w:rPr>
        <w:t>公开询价报价</w:t>
      </w:r>
      <w:r>
        <w:rPr>
          <w:rFonts w:hint="eastAsia" w:ascii="楷体" w:hAnsi="楷体" w:eastAsia="楷体" w:cs="楷体"/>
          <w:bCs/>
          <w:sz w:val="24"/>
          <w:szCs w:val="24"/>
        </w:rPr>
        <w:t>文件及合同条款完全接受和遵守。</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z w:val="24"/>
          <w:szCs w:val="24"/>
        </w:rPr>
      </w:pPr>
      <w:r>
        <w:rPr>
          <w:rFonts w:hint="eastAsia" w:ascii="楷体" w:hAnsi="楷体" w:eastAsia="楷体" w:cs="楷体"/>
          <w:bCs/>
          <w:sz w:val="24"/>
          <w:szCs w:val="24"/>
        </w:rPr>
        <w:t>1</w:t>
      </w:r>
      <w:r>
        <w:rPr>
          <w:rFonts w:hint="eastAsia" w:ascii="楷体" w:hAnsi="楷体" w:eastAsia="楷体" w:cs="楷体"/>
          <w:bCs/>
          <w:sz w:val="24"/>
          <w:szCs w:val="24"/>
          <w:lang w:val="en-US" w:eastAsia="zh-CN"/>
        </w:rPr>
        <w:t>1</w:t>
      </w:r>
      <w:r>
        <w:rPr>
          <w:rFonts w:hint="eastAsia" w:ascii="楷体" w:hAnsi="楷体" w:eastAsia="楷体" w:cs="楷体"/>
          <w:bCs/>
          <w:sz w:val="24"/>
          <w:szCs w:val="24"/>
        </w:rPr>
        <w:t>、我单位承诺同意按照贵单位要求办理结算及支付方式；承诺按所提供本单位银行开户许可证的开户行名称及帐号接收结算款，保证不使用委托收款。</w:t>
      </w: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bCs/>
          <w:sz w:val="24"/>
          <w:szCs w:val="24"/>
        </w:rPr>
      </w:pPr>
      <w:r>
        <w:rPr>
          <w:rFonts w:hint="eastAsia" w:ascii="楷体" w:hAnsi="楷体" w:eastAsia="楷体" w:cs="楷体"/>
          <w:bCs/>
          <w:sz w:val="24"/>
          <w:szCs w:val="24"/>
          <w:lang w:val="en-US" w:eastAsia="zh-CN"/>
        </w:rPr>
        <w:t>报价</w:t>
      </w:r>
      <w:r>
        <w:rPr>
          <w:rFonts w:hint="eastAsia" w:ascii="楷体" w:hAnsi="楷体" w:eastAsia="楷体" w:cs="楷体"/>
          <w:bCs/>
          <w:sz w:val="24"/>
          <w:szCs w:val="24"/>
        </w:rPr>
        <w:t>单位：（章）</w:t>
      </w:r>
    </w:p>
    <w:p>
      <w:pPr>
        <w:keepNext w:val="0"/>
        <w:keepLines w:val="0"/>
        <w:pageBreakBefore w:val="0"/>
        <w:widowControl w:val="0"/>
        <w:kinsoku/>
        <w:wordWrap/>
        <w:overflowPunct/>
        <w:topLinePunct w:val="0"/>
        <w:autoSpaceDE/>
        <w:autoSpaceDN/>
        <w:bidi w:val="0"/>
        <w:adjustRightInd/>
        <w:snapToGrid/>
        <w:spacing w:line="400" w:lineRule="exact"/>
        <w:ind w:firstLine="4560" w:firstLineChars="1900"/>
        <w:textAlignment w:val="auto"/>
        <w:rPr>
          <w:rFonts w:hint="eastAsia" w:ascii="楷体" w:hAnsi="楷体" w:eastAsia="楷体" w:cs="楷体"/>
          <w:bCs/>
          <w:sz w:val="24"/>
          <w:szCs w:val="24"/>
        </w:rPr>
      </w:pPr>
      <w:r>
        <w:rPr>
          <w:rFonts w:hint="eastAsia" w:ascii="楷体" w:hAnsi="楷体" w:eastAsia="楷体" w:cs="楷体"/>
          <w:bCs/>
          <w:sz w:val="24"/>
          <w:szCs w:val="24"/>
        </w:rPr>
        <w:t>法人代表：（章）</w:t>
      </w:r>
    </w:p>
    <w:p>
      <w:pPr>
        <w:keepNext w:val="0"/>
        <w:keepLines w:val="0"/>
        <w:pageBreakBefore w:val="0"/>
        <w:widowControl w:val="0"/>
        <w:kinsoku/>
        <w:wordWrap/>
        <w:overflowPunct/>
        <w:topLinePunct w:val="0"/>
        <w:autoSpaceDE/>
        <w:autoSpaceDN/>
        <w:bidi w:val="0"/>
        <w:adjustRightInd/>
        <w:snapToGrid/>
        <w:spacing w:line="400" w:lineRule="exact"/>
        <w:ind w:firstLine="4524" w:firstLineChars="1885"/>
        <w:textAlignment w:val="auto"/>
        <w:rPr>
          <w:rFonts w:hint="eastAsia" w:ascii="楷体" w:hAnsi="楷体" w:eastAsia="楷体" w:cs="楷体"/>
        </w:rPr>
      </w:pPr>
      <w:r>
        <w:rPr>
          <w:rFonts w:hint="eastAsia" w:ascii="楷体" w:hAnsi="楷体" w:eastAsia="楷体" w:cs="楷体"/>
          <w:bCs/>
          <w:sz w:val="24"/>
          <w:szCs w:val="24"/>
        </w:rPr>
        <w:t>日    期：</w:t>
      </w:r>
    </w:p>
    <w:p>
      <w:pPr>
        <w:rPr>
          <w:rFonts w:hint="eastAsia" w:ascii="楷体" w:hAnsi="楷体" w:eastAsia="楷体" w:cs="楷体"/>
        </w:rPr>
      </w:pPr>
    </w:p>
    <w:p>
      <w:pPr>
        <w:rPr>
          <w:rFonts w:hint="eastAsia" w:ascii="楷体" w:hAnsi="楷体" w:eastAsia="楷体" w:cs="楷体"/>
          <w:sz w:val="24"/>
          <w:szCs w:val="24"/>
          <w:lang w:val="en-US" w:eastAsia="zh-CN"/>
        </w:rPr>
      </w:pPr>
      <w:bookmarkStart w:id="17" w:name="_Toc343692951"/>
      <w:bookmarkStart w:id="18" w:name="_Toc343700749"/>
      <w:r>
        <w:rPr>
          <w:rFonts w:hint="eastAsia" w:ascii="楷体" w:hAnsi="楷体" w:eastAsia="楷体" w:cs="楷体"/>
          <w:sz w:val="24"/>
          <w:szCs w:val="24"/>
          <w:lang w:val="en-US" w:eastAsia="zh-CN"/>
        </w:rPr>
        <w:br w:type="page"/>
      </w:r>
    </w:p>
    <w:p>
      <w:pPr>
        <w:pStyle w:val="4"/>
        <w:numPr>
          <w:ilvl w:val="0"/>
          <w:numId w:val="0"/>
        </w:numPr>
        <w:spacing w:before="0" w:line="240" w:lineRule="auto"/>
        <w:ind w:leftChars="0"/>
        <w:jc w:val="both"/>
        <w:rPr>
          <w:rFonts w:hint="eastAsia" w:ascii="楷体" w:hAnsi="楷体" w:eastAsia="楷体" w:cs="楷体"/>
          <w:sz w:val="24"/>
          <w:szCs w:val="24"/>
        </w:rPr>
      </w:pPr>
      <w:r>
        <w:rPr>
          <w:rFonts w:hint="eastAsia" w:ascii="楷体" w:hAnsi="楷体" w:eastAsia="楷体" w:cs="楷体"/>
          <w:sz w:val="24"/>
          <w:szCs w:val="24"/>
          <w:lang w:val="en-US" w:eastAsia="zh-CN"/>
        </w:rPr>
        <w:t xml:space="preserve">附件二：                 </w:t>
      </w:r>
      <w:r>
        <w:rPr>
          <w:rFonts w:hint="eastAsia" w:ascii="楷体" w:hAnsi="楷体" w:eastAsia="楷体" w:cs="楷体"/>
          <w:sz w:val="24"/>
          <w:szCs w:val="24"/>
        </w:rPr>
        <w:t>法定代表人授权书</w:t>
      </w:r>
      <w:bookmarkEnd w:id="17"/>
      <w:bookmarkEnd w:id="18"/>
    </w:p>
    <w:p>
      <w:pPr>
        <w:adjustRightInd w:val="0"/>
        <w:snapToGrid w:val="0"/>
        <w:spacing w:line="480" w:lineRule="auto"/>
        <w:rPr>
          <w:rFonts w:hint="eastAsia" w:ascii="楷体" w:hAnsi="楷体" w:eastAsia="楷体" w:cs="楷体"/>
          <w:sz w:val="24"/>
          <w:szCs w:val="24"/>
        </w:rPr>
      </w:pPr>
    </w:p>
    <w:p>
      <w:pPr>
        <w:adjustRightInd w:val="0"/>
        <w:snapToGrid w:val="0"/>
        <w:spacing w:line="480" w:lineRule="auto"/>
        <w:rPr>
          <w:rFonts w:hint="eastAsia" w:ascii="楷体" w:hAnsi="楷体" w:eastAsia="楷体" w:cs="楷体"/>
          <w:sz w:val="24"/>
          <w:szCs w:val="24"/>
          <w:lang w:val="en-US" w:eastAsia="zh-CN"/>
        </w:rPr>
      </w:pPr>
      <w:r>
        <w:rPr>
          <w:rFonts w:hint="eastAsia" w:ascii="楷体" w:hAnsi="楷体" w:eastAsia="楷体" w:cs="楷体"/>
          <w:sz w:val="24"/>
          <w:szCs w:val="24"/>
        </w:rPr>
        <w:t>致：</w:t>
      </w:r>
      <w:r>
        <w:rPr>
          <w:rFonts w:hint="eastAsia" w:ascii="楷体" w:hAnsi="楷体" w:eastAsia="楷体" w:cs="楷体"/>
          <w:sz w:val="24"/>
          <w:szCs w:val="24"/>
          <w:lang w:val="en-US" w:eastAsia="zh-CN"/>
        </w:rPr>
        <w:t>海南洋浦陆海国际贸易有限公司</w:t>
      </w:r>
    </w:p>
    <w:p>
      <w:pPr>
        <w:snapToGrid w:val="0"/>
        <w:spacing w:line="48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本授权书声明：位于</w:t>
      </w:r>
      <w:r>
        <w:rPr>
          <w:rFonts w:hint="eastAsia" w:ascii="楷体" w:hAnsi="楷体" w:eastAsia="楷体" w:cs="楷体"/>
          <w:sz w:val="24"/>
          <w:szCs w:val="24"/>
          <w:u w:val="single"/>
        </w:rPr>
        <w:t xml:space="preserve">（公司地址）               </w:t>
      </w:r>
      <w:r>
        <w:rPr>
          <w:rFonts w:hint="eastAsia" w:ascii="楷体" w:hAnsi="楷体" w:eastAsia="楷体" w:cs="楷体"/>
          <w:sz w:val="24"/>
          <w:szCs w:val="24"/>
        </w:rPr>
        <w:t>的</w:t>
      </w:r>
      <w:r>
        <w:rPr>
          <w:rFonts w:hint="eastAsia" w:ascii="楷体" w:hAnsi="楷体" w:eastAsia="楷体" w:cs="楷体"/>
          <w:sz w:val="24"/>
          <w:szCs w:val="24"/>
          <w:u w:val="single"/>
        </w:rPr>
        <w:t xml:space="preserve">（公司名称）    </w:t>
      </w:r>
      <w:r>
        <w:rPr>
          <w:rFonts w:hint="eastAsia" w:ascii="楷体" w:hAnsi="楷体" w:eastAsia="楷体" w:cs="楷体"/>
          <w:sz w:val="24"/>
          <w:szCs w:val="24"/>
        </w:rPr>
        <w:t>的</w:t>
      </w:r>
      <w:r>
        <w:rPr>
          <w:rFonts w:hint="eastAsia" w:ascii="楷体" w:hAnsi="楷体" w:eastAsia="楷体" w:cs="楷体"/>
          <w:sz w:val="24"/>
          <w:szCs w:val="24"/>
          <w:u w:val="single"/>
        </w:rPr>
        <w:t xml:space="preserve">（法定代表人姓名）      </w:t>
      </w:r>
      <w:r>
        <w:rPr>
          <w:rFonts w:hint="eastAsia" w:ascii="楷体" w:hAnsi="楷体" w:eastAsia="楷体" w:cs="楷体"/>
          <w:sz w:val="24"/>
          <w:szCs w:val="24"/>
        </w:rPr>
        <w:t>代表本公司授权</w:t>
      </w:r>
      <w:r>
        <w:rPr>
          <w:rFonts w:hint="eastAsia" w:ascii="楷体" w:hAnsi="楷体" w:eastAsia="楷体" w:cs="楷体"/>
          <w:sz w:val="24"/>
          <w:szCs w:val="24"/>
          <w:u w:val="single"/>
        </w:rPr>
        <w:t xml:space="preserve">（被授权人姓名）      </w:t>
      </w:r>
      <w:r>
        <w:rPr>
          <w:rFonts w:hint="eastAsia" w:ascii="楷体" w:hAnsi="楷体" w:eastAsia="楷体" w:cs="楷体"/>
          <w:sz w:val="24"/>
          <w:szCs w:val="24"/>
        </w:rPr>
        <w:t>为本公司的唯一合法代理人，代表本公司参加</w:t>
      </w:r>
      <w:r>
        <w:rPr>
          <w:rFonts w:hint="eastAsia" w:ascii="楷体" w:hAnsi="楷体" w:eastAsia="楷体" w:cs="楷体"/>
          <w:sz w:val="24"/>
          <w:szCs w:val="24"/>
          <w:lang w:val="en-US" w:eastAsia="zh-CN"/>
        </w:rPr>
        <w:t>海南洋浦陆海国际贸易有限公司</w:t>
      </w:r>
      <w:r>
        <w:rPr>
          <w:rFonts w:hint="eastAsia" w:ascii="楷体" w:hAnsi="楷体" w:eastAsia="楷体" w:cs="楷体"/>
          <w:sz w:val="24"/>
          <w:szCs w:val="24"/>
          <w:u w:val="single"/>
          <w:lang w:val="en-US" w:eastAsia="zh-CN"/>
        </w:rPr>
        <w:t>钢筋</w:t>
      </w:r>
      <w:r>
        <w:rPr>
          <w:rFonts w:hint="eastAsia" w:ascii="楷体" w:hAnsi="楷体" w:eastAsia="楷体" w:cs="楷体"/>
          <w:sz w:val="24"/>
          <w:szCs w:val="24"/>
        </w:rPr>
        <w:t>采购</w:t>
      </w:r>
      <w:r>
        <w:rPr>
          <w:rFonts w:hint="eastAsia" w:ascii="楷体" w:hAnsi="楷体" w:eastAsia="楷体" w:cs="楷体"/>
          <w:sz w:val="24"/>
          <w:szCs w:val="24"/>
          <w:lang w:eastAsia="zh-CN"/>
        </w:rPr>
        <w:t>公开询价报价</w:t>
      </w:r>
      <w:r>
        <w:rPr>
          <w:rFonts w:hint="eastAsia" w:ascii="楷体" w:hAnsi="楷体" w:eastAsia="楷体" w:cs="楷体"/>
          <w:sz w:val="24"/>
          <w:szCs w:val="24"/>
        </w:rPr>
        <w:t>活动，并在整个</w:t>
      </w:r>
      <w:r>
        <w:rPr>
          <w:rFonts w:hint="eastAsia" w:ascii="楷体" w:hAnsi="楷体" w:eastAsia="楷体" w:cs="楷体"/>
          <w:sz w:val="24"/>
          <w:szCs w:val="24"/>
          <w:lang w:eastAsia="zh-CN"/>
        </w:rPr>
        <w:t>公开询价报价</w:t>
      </w:r>
      <w:r>
        <w:rPr>
          <w:rFonts w:hint="eastAsia" w:ascii="楷体" w:hAnsi="楷体" w:eastAsia="楷体" w:cs="楷体"/>
          <w:sz w:val="24"/>
          <w:szCs w:val="24"/>
        </w:rPr>
        <w:t>采购活动中，以本公司名义全权处理包括递交企业和产品资质材料，确认相关信息，</w:t>
      </w:r>
      <w:r>
        <w:rPr>
          <w:rFonts w:hint="eastAsia" w:ascii="楷体" w:hAnsi="楷体" w:eastAsia="楷体" w:cs="楷体"/>
          <w:sz w:val="24"/>
          <w:szCs w:val="24"/>
          <w:lang w:eastAsia="zh-CN"/>
        </w:rPr>
        <w:t xml:space="preserve"> </w:t>
      </w:r>
      <w:r>
        <w:rPr>
          <w:rFonts w:hint="eastAsia" w:ascii="楷体" w:hAnsi="楷体" w:eastAsia="楷体" w:cs="楷体"/>
          <w:sz w:val="24"/>
          <w:szCs w:val="24"/>
        </w:rPr>
        <w:t>产品报价、议价，交纳相关费用，签订采购合同，执行和完成采购周期内的售后服务等一切与之有关的事务，并保证所提供的资质证明材料真实、合法、完整、有效。</w:t>
      </w:r>
    </w:p>
    <w:p>
      <w:pPr>
        <w:snapToGrid w:val="0"/>
        <w:spacing w:line="480" w:lineRule="auto"/>
        <w:ind w:firstLine="584"/>
        <w:jc w:val="left"/>
        <w:rPr>
          <w:rFonts w:hint="eastAsia" w:ascii="楷体" w:hAnsi="楷体" w:eastAsia="楷体" w:cs="楷体"/>
          <w:sz w:val="24"/>
          <w:szCs w:val="24"/>
        </w:rPr>
      </w:pPr>
    </w:p>
    <w:p>
      <w:pPr>
        <w:snapToGrid w:val="0"/>
        <w:spacing w:line="480" w:lineRule="auto"/>
        <w:ind w:firstLine="600" w:firstLineChars="250"/>
        <w:rPr>
          <w:rFonts w:hint="eastAsia" w:ascii="楷体" w:hAnsi="楷体" w:eastAsia="楷体" w:cs="楷体"/>
          <w:sz w:val="24"/>
          <w:szCs w:val="24"/>
        </w:rPr>
      </w:pPr>
      <w:r>
        <w:rPr>
          <w:rFonts w:hint="eastAsia" w:ascii="楷体" w:hAnsi="楷体" w:eastAsia="楷体" w:cs="楷体"/>
          <w:sz w:val="24"/>
          <w:szCs w:val="24"/>
        </w:rPr>
        <w:t xml:space="preserve">本授权书于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年   月   日签字生效，特此声明。</w:t>
      </w:r>
    </w:p>
    <w:p>
      <w:pPr>
        <w:spacing w:line="480" w:lineRule="auto"/>
        <w:ind w:firstLine="616" w:firstLineChars="257"/>
        <w:rPr>
          <w:rFonts w:hint="eastAsia" w:ascii="楷体" w:hAnsi="楷体" w:eastAsia="楷体" w:cs="楷体"/>
          <w:sz w:val="24"/>
          <w:szCs w:val="24"/>
        </w:rPr>
      </w:pPr>
      <w:r>
        <w:rPr>
          <w:rFonts w:hint="eastAsia" w:ascii="楷体" w:hAnsi="楷体" w:eastAsia="楷体" w:cs="楷体"/>
          <w:sz w:val="24"/>
          <w:szCs w:val="24"/>
        </w:rPr>
        <w:t>授权期限为：   年   月   日起至本次采购期结束。授权期限内无特殊情况不变更合法代理人（被授权人）。</w:t>
      </w:r>
    </w:p>
    <w:p>
      <w:pPr>
        <w:snapToGrid w:val="0"/>
        <w:spacing w:line="48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 xml:space="preserve"> </w:t>
      </w:r>
    </w:p>
    <w:p>
      <w:pPr>
        <w:snapToGrid w:val="0"/>
        <w:spacing w:line="480" w:lineRule="auto"/>
        <w:ind w:firstLine="480" w:firstLineChars="200"/>
        <w:jc w:val="center"/>
        <w:rPr>
          <w:rFonts w:hint="eastAsia" w:ascii="楷体" w:hAnsi="楷体" w:eastAsia="楷体" w:cs="楷体"/>
          <w:sz w:val="24"/>
          <w:szCs w:val="24"/>
          <w:lang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法定代表人(签字)</w:t>
      </w:r>
      <w:r>
        <w:rPr>
          <w:rFonts w:hint="eastAsia" w:ascii="楷体" w:hAnsi="楷体" w:eastAsia="楷体" w:cs="楷体"/>
          <w:sz w:val="24"/>
          <w:szCs w:val="24"/>
          <w:lang w:eastAsia="zh-CN"/>
        </w:rPr>
        <w:t>：</w:t>
      </w:r>
    </w:p>
    <w:p>
      <w:pPr>
        <w:snapToGrid w:val="0"/>
        <w:spacing w:line="480" w:lineRule="auto"/>
        <w:ind w:firstLine="480" w:firstLineChars="200"/>
        <w:jc w:val="center"/>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被授权人(签字)</w:t>
      </w:r>
      <w:r>
        <w:rPr>
          <w:rFonts w:hint="eastAsia" w:ascii="楷体" w:hAnsi="楷体" w:eastAsia="楷体" w:cs="楷体"/>
          <w:sz w:val="24"/>
          <w:szCs w:val="24"/>
          <w:lang w:val="en-US" w:eastAsia="zh-CN"/>
        </w:rPr>
        <w:t>：</w:t>
      </w:r>
    </w:p>
    <w:p>
      <w:pPr>
        <w:snapToGrid w:val="0"/>
        <w:spacing w:line="480" w:lineRule="auto"/>
        <w:ind w:firstLine="480" w:firstLineChars="200"/>
        <w:jc w:val="center"/>
        <w:rPr>
          <w:rFonts w:hint="eastAsia" w:ascii="楷体" w:hAnsi="楷体" w:eastAsia="楷体" w:cs="楷体"/>
          <w:sz w:val="24"/>
          <w:szCs w:val="24"/>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授权单位名称（盖章）</w:t>
      </w:r>
    </w:p>
    <w:p>
      <w:pPr>
        <w:snapToGrid w:val="0"/>
        <w:spacing w:line="480" w:lineRule="auto"/>
        <w:ind w:firstLine="480" w:firstLineChars="200"/>
        <w:rPr>
          <w:rFonts w:hint="eastAsia" w:ascii="楷体" w:hAnsi="楷体" w:eastAsia="楷体" w:cs="楷体"/>
          <w:sz w:val="24"/>
          <w:szCs w:val="24"/>
          <w:lang w:eastAsia="zh-CN"/>
        </w:rPr>
      </w:pP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w:t>
      </w:r>
      <w:r>
        <w:rPr>
          <w:rFonts w:hint="eastAsia" w:ascii="楷体" w:hAnsi="楷体" w:eastAsia="楷体" w:cs="楷体"/>
          <w:sz w:val="24"/>
          <w:szCs w:val="24"/>
        </w:rPr>
        <w:t>联系电话</w:t>
      </w:r>
      <w:r>
        <w:rPr>
          <w:rFonts w:hint="eastAsia" w:ascii="楷体" w:hAnsi="楷体" w:eastAsia="楷体" w:cs="楷体"/>
          <w:sz w:val="24"/>
          <w:szCs w:val="24"/>
          <w:lang w:eastAsia="zh-CN"/>
        </w:rPr>
        <w:t>：</w:t>
      </w:r>
    </w:p>
    <w:p>
      <w:pPr>
        <w:pStyle w:val="27"/>
        <w:spacing w:line="360" w:lineRule="auto"/>
        <w:ind w:firstLine="0" w:firstLineChars="0"/>
        <w:jc w:val="both"/>
        <w:rPr>
          <w:rFonts w:hint="eastAsia" w:ascii="楷体" w:hAnsi="楷体" w:eastAsia="楷体" w:cs="楷体"/>
          <w:b/>
          <w:bCs/>
          <w:kern w:val="44"/>
          <w:sz w:val="24"/>
          <w:szCs w:val="24"/>
        </w:rPr>
      </w:pPr>
    </w:p>
    <w:p>
      <w:pPr>
        <w:pStyle w:val="27"/>
        <w:spacing w:line="360" w:lineRule="auto"/>
        <w:ind w:firstLine="0" w:firstLineChars="0"/>
        <w:jc w:val="both"/>
        <w:rPr>
          <w:rFonts w:hint="eastAsia" w:ascii="楷体" w:hAnsi="楷体" w:eastAsia="楷体" w:cs="楷体"/>
          <w:b/>
          <w:bCs/>
          <w:kern w:val="44"/>
          <w:sz w:val="24"/>
          <w:szCs w:val="24"/>
        </w:rPr>
      </w:pPr>
    </w:p>
    <w:p>
      <w:pPr>
        <w:pStyle w:val="27"/>
        <w:spacing w:line="360" w:lineRule="auto"/>
        <w:ind w:firstLine="0" w:firstLineChars="0"/>
        <w:jc w:val="both"/>
        <w:rPr>
          <w:rFonts w:hint="eastAsia" w:ascii="楷体" w:hAnsi="楷体" w:eastAsia="楷体" w:cs="楷体"/>
          <w:b/>
          <w:bCs/>
          <w:kern w:val="44"/>
          <w:sz w:val="24"/>
          <w:szCs w:val="24"/>
        </w:rPr>
      </w:pPr>
    </w:p>
    <w:p>
      <w:pPr>
        <w:pStyle w:val="27"/>
        <w:spacing w:line="360" w:lineRule="auto"/>
        <w:ind w:firstLine="0" w:firstLineChars="0"/>
        <w:jc w:val="both"/>
        <w:rPr>
          <w:rFonts w:hint="eastAsia" w:ascii="楷体" w:hAnsi="楷体" w:eastAsia="楷体" w:cs="楷体"/>
          <w:b/>
          <w:bCs/>
          <w:kern w:val="44"/>
          <w:sz w:val="24"/>
          <w:szCs w:val="24"/>
        </w:rPr>
      </w:pPr>
    </w:p>
    <w:p>
      <w:pPr>
        <w:pStyle w:val="27"/>
        <w:spacing w:line="360" w:lineRule="auto"/>
        <w:ind w:firstLine="0" w:firstLineChars="0"/>
        <w:jc w:val="both"/>
        <w:rPr>
          <w:rFonts w:hint="eastAsia" w:ascii="楷体" w:hAnsi="楷体" w:eastAsia="楷体" w:cs="楷体"/>
          <w:b/>
          <w:bCs/>
          <w:kern w:val="44"/>
          <w:sz w:val="24"/>
          <w:szCs w:val="24"/>
        </w:rPr>
      </w:pPr>
    </w:p>
    <w:p>
      <w:pPr>
        <w:pStyle w:val="27"/>
        <w:spacing w:line="360" w:lineRule="auto"/>
        <w:ind w:firstLine="0" w:firstLineChars="0"/>
        <w:rPr>
          <w:rFonts w:hint="eastAsia" w:ascii="仿宋" w:hAnsi="仿宋" w:eastAsia="仿宋"/>
          <w:b/>
          <w:bCs/>
          <w:kern w:val="44"/>
          <w:sz w:val="24"/>
          <w:szCs w:val="24"/>
        </w:rPr>
      </w:pPr>
      <w:r>
        <w:rPr>
          <w:rFonts w:hint="eastAsia" w:ascii="仿宋" w:hAnsi="仿宋" w:eastAsia="仿宋"/>
          <w:b/>
          <w:bCs/>
          <w:kern w:val="44"/>
          <w:sz w:val="24"/>
          <w:szCs w:val="24"/>
        </w:rPr>
        <w:t>附件三：</w:t>
      </w:r>
    </w:p>
    <w:p>
      <w:pPr>
        <w:pStyle w:val="27"/>
        <w:spacing w:line="360" w:lineRule="auto"/>
        <w:ind w:firstLine="0" w:firstLineChars="0"/>
        <w:jc w:val="center"/>
        <w:rPr>
          <w:rFonts w:hint="eastAsia" w:ascii="仿宋" w:hAnsi="仿宋" w:eastAsia="仿宋"/>
          <w:b/>
          <w:bCs/>
          <w:sz w:val="24"/>
          <w:szCs w:val="24"/>
        </w:rPr>
      </w:pPr>
      <w:r>
        <w:rPr>
          <w:rFonts w:hint="eastAsia" w:ascii="仿宋" w:hAnsi="仿宋" w:eastAsia="仿宋"/>
          <w:b/>
          <w:bCs/>
          <w:sz w:val="24"/>
          <w:szCs w:val="24"/>
        </w:rPr>
        <w:t>无重大违法记录声明函</w:t>
      </w:r>
    </w:p>
    <w:p>
      <w:pPr>
        <w:pStyle w:val="27"/>
        <w:spacing w:line="360" w:lineRule="auto"/>
        <w:ind w:firstLine="480"/>
        <w:jc w:val="left"/>
        <w:rPr>
          <w:rFonts w:hint="eastAsia" w:ascii="仿宋" w:hAnsi="仿宋" w:eastAsia="仿宋"/>
          <w:sz w:val="24"/>
          <w:szCs w:val="24"/>
        </w:rPr>
      </w:pPr>
      <w:r>
        <w:rPr>
          <w:rFonts w:hint="eastAsia" w:ascii="仿宋" w:hAnsi="仿宋" w:eastAsia="仿宋"/>
          <w:sz w:val="24"/>
          <w:szCs w:val="24"/>
        </w:rPr>
        <w:t>近三年内参加过的政府采购和招投标活动中没有重大违法记录（提供声明函（格式自拟），供应商注册成立时间不足三年的，从注册时间起算），以下为格式参考：</w:t>
      </w:r>
    </w:p>
    <w:p>
      <w:pPr>
        <w:pStyle w:val="27"/>
        <w:spacing w:line="360" w:lineRule="auto"/>
        <w:ind w:firstLine="480"/>
        <w:jc w:val="left"/>
        <w:rPr>
          <w:rFonts w:hint="eastAsia" w:ascii="仿宋" w:hAnsi="仿宋" w:eastAsia="仿宋"/>
          <w:sz w:val="24"/>
          <w:szCs w:val="24"/>
        </w:rPr>
      </w:pPr>
      <w:r>
        <w:rPr>
          <w:rFonts w:hint="eastAsia" w:ascii="仿宋" w:hAnsi="仿宋" w:eastAsia="仿宋"/>
          <w:sz w:val="24"/>
          <w:szCs w:val="24"/>
        </w:rPr>
        <w:t xml:space="preserve"> </w:t>
      </w:r>
    </w:p>
    <w:p>
      <w:pPr>
        <w:pStyle w:val="27"/>
        <w:spacing w:line="360" w:lineRule="auto"/>
        <w:ind w:firstLine="0" w:firstLineChars="0"/>
        <w:jc w:val="center"/>
        <w:rPr>
          <w:rFonts w:hint="eastAsia" w:ascii="宋体" w:hAnsi="宋体"/>
          <w:b/>
          <w:bCs/>
          <w:kern w:val="44"/>
          <w:sz w:val="32"/>
          <w:szCs w:val="32"/>
        </w:rPr>
      </w:pPr>
      <w:r>
        <w:rPr>
          <w:rFonts w:hint="eastAsia" w:ascii="宋体" w:hAnsi="宋体"/>
          <w:b/>
          <w:bCs/>
          <w:kern w:val="44"/>
          <w:sz w:val="32"/>
          <w:szCs w:val="32"/>
        </w:rPr>
        <w:t>声明函</w:t>
      </w:r>
    </w:p>
    <w:p>
      <w:pPr>
        <w:pStyle w:val="27"/>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海南洋浦陆海国际贸易有限公司 ：</w:t>
      </w:r>
    </w:p>
    <w:p>
      <w:pPr>
        <w:pStyle w:val="27"/>
        <w:spacing w:line="360" w:lineRule="auto"/>
        <w:ind w:firstLine="480"/>
        <w:jc w:val="left"/>
        <w:rPr>
          <w:rFonts w:hint="eastAsia" w:ascii="仿宋" w:hAnsi="仿宋" w:eastAsia="仿宋"/>
          <w:kern w:val="44"/>
          <w:sz w:val="24"/>
          <w:szCs w:val="24"/>
        </w:rPr>
      </w:pPr>
      <w:r>
        <w:rPr>
          <w:rFonts w:hint="eastAsia" w:ascii="仿宋" w:hAnsi="仿宋" w:eastAsia="仿宋"/>
          <w:kern w:val="44"/>
          <w:sz w:val="24"/>
          <w:szCs w:val="24"/>
        </w:rPr>
        <w:t>我司承诺近三年内参加过的政府采购和招投标活动中没有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pPr>
        <w:pStyle w:val="27"/>
        <w:spacing w:line="360" w:lineRule="auto"/>
        <w:ind w:firstLine="480"/>
        <w:jc w:val="left"/>
        <w:rPr>
          <w:rFonts w:hint="eastAsia" w:ascii="仿宋" w:hAnsi="仿宋" w:eastAsia="仿宋"/>
          <w:kern w:val="44"/>
          <w:sz w:val="24"/>
          <w:szCs w:val="24"/>
        </w:rPr>
      </w:pPr>
      <w:r>
        <w:rPr>
          <w:rFonts w:hint="eastAsia" w:ascii="仿宋" w:hAnsi="仿宋" w:eastAsia="仿宋"/>
          <w:kern w:val="44"/>
          <w:sz w:val="24"/>
          <w:szCs w:val="24"/>
        </w:rPr>
        <w:t>附：未被列入中国执行信息公开网（http://zxgk.court.gov.cn/）的“失信被执行人”名单和国家企业信用信息公示系统“严重违法失信名单（黑名单）”的查询结果网页截图并加盖单位公章）。</w:t>
      </w:r>
    </w:p>
    <w:p>
      <w:pPr>
        <w:pStyle w:val="27"/>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7"/>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7"/>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7"/>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7"/>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38"/>
        <w:spacing w:line="360" w:lineRule="auto"/>
        <w:ind w:firstLine="1200" w:firstLineChars="500"/>
        <w:jc w:val="center"/>
        <w:rPr>
          <w:rFonts w:hint="eastAsia" w:ascii="仿宋" w:hAnsi="仿宋" w:eastAsia="仿宋"/>
          <w:sz w:val="24"/>
          <w:szCs w:val="24"/>
        </w:rPr>
      </w:pPr>
      <w:r>
        <w:rPr>
          <w:rFonts w:hint="eastAsia" w:ascii="仿宋" w:hAnsi="仿宋" w:eastAsia="仿宋"/>
          <w:sz w:val="24"/>
          <w:szCs w:val="24"/>
        </w:rPr>
        <w:t xml:space="preserve">                                    供应商：</w:t>
      </w:r>
      <w:r>
        <w:rPr>
          <w:rFonts w:hint="eastAsia" w:ascii="仿宋" w:hAnsi="仿宋" w:eastAsia="仿宋"/>
          <w:sz w:val="24"/>
          <w:szCs w:val="24"/>
          <w:lang w:val="en-US" w:eastAsia="zh-CN"/>
        </w:rPr>
        <w:t xml:space="preserve">    </w:t>
      </w:r>
      <w:r>
        <w:rPr>
          <w:rFonts w:hint="eastAsia" w:ascii="仿宋" w:hAnsi="仿宋" w:eastAsia="仿宋"/>
          <w:sz w:val="24"/>
          <w:szCs w:val="24"/>
        </w:rPr>
        <w:t>（盖单位章）</w:t>
      </w:r>
    </w:p>
    <w:p>
      <w:pPr>
        <w:pStyle w:val="38"/>
        <w:spacing w:line="360" w:lineRule="auto"/>
        <w:ind w:firstLine="1200" w:firstLineChars="500"/>
        <w:jc w:val="right"/>
        <w:rPr>
          <w:rFonts w:hint="eastAsia" w:ascii="仿宋" w:hAnsi="仿宋" w:eastAsia="仿宋"/>
          <w:sz w:val="24"/>
          <w:szCs w:val="24"/>
        </w:rPr>
      </w:pPr>
      <w:r>
        <w:rPr>
          <w:rFonts w:hint="eastAsia" w:ascii="仿宋" w:hAnsi="仿宋" w:eastAsia="仿宋"/>
          <w:sz w:val="24"/>
          <w:szCs w:val="24"/>
        </w:rPr>
        <w:t xml:space="preserve"> </w:t>
      </w:r>
    </w:p>
    <w:p>
      <w:pPr>
        <w:pStyle w:val="38"/>
        <w:spacing w:line="360" w:lineRule="auto"/>
        <w:ind w:firstLine="1200" w:firstLineChars="500"/>
        <w:jc w:val="center"/>
        <w:rPr>
          <w:rFonts w:hint="eastAsia" w:ascii="仿宋" w:hAnsi="仿宋" w:eastAsia="仿宋"/>
          <w:sz w:val="24"/>
          <w:szCs w:val="24"/>
        </w:rPr>
      </w:pPr>
      <w:r>
        <w:rPr>
          <w:rFonts w:hint="eastAsia" w:ascii="仿宋" w:hAnsi="仿宋" w:eastAsia="仿宋"/>
          <w:sz w:val="24"/>
          <w:szCs w:val="24"/>
        </w:rPr>
        <w:t xml:space="preserve">                      法定代表人或其被授权人：</w:t>
      </w:r>
      <w:r>
        <w:rPr>
          <w:rFonts w:hint="eastAsia" w:ascii="仿宋" w:hAnsi="仿宋" w:eastAsia="仿宋"/>
          <w:sz w:val="24"/>
          <w:szCs w:val="24"/>
          <w:lang w:val="en-US" w:eastAsia="zh-CN"/>
        </w:rPr>
        <w:t xml:space="preserve">  </w:t>
      </w:r>
      <w:r>
        <w:rPr>
          <w:rFonts w:hint="eastAsia" w:ascii="仿宋" w:hAnsi="仿宋" w:eastAsia="仿宋"/>
          <w:sz w:val="24"/>
          <w:szCs w:val="24"/>
        </w:rPr>
        <w:t>（签字）</w:t>
      </w:r>
    </w:p>
    <w:p>
      <w:pPr>
        <w:pStyle w:val="38"/>
        <w:spacing w:line="360" w:lineRule="auto"/>
        <w:ind w:firstLine="482"/>
        <w:jc w:val="right"/>
        <w:rPr>
          <w:rFonts w:hint="eastAsia" w:ascii="仿宋" w:hAnsi="仿宋" w:eastAsia="仿宋"/>
          <w:sz w:val="24"/>
          <w:szCs w:val="24"/>
        </w:rPr>
      </w:pPr>
      <w:r>
        <w:rPr>
          <w:rFonts w:hint="eastAsia" w:ascii="仿宋" w:hAnsi="仿宋" w:eastAsia="仿宋"/>
          <w:sz w:val="24"/>
          <w:szCs w:val="24"/>
        </w:rPr>
        <w:t xml:space="preserve"> </w:t>
      </w:r>
    </w:p>
    <w:p>
      <w:pPr>
        <w:pStyle w:val="38"/>
        <w:spacing w:line="360" w:lineRule="auto"/>
        <w:ind w:firstLine="482"/>
        <w:jc w:val="right"/>
        <w:rPr>
          <w:rFonts w:hint="eastAsia" w:ascii="仿宋" w:hAnsi="仿宋" w:eastAsia="仿宋"/>
          <w:sz w:val="24"/>
          <w:szCs w:val="24"/>
        </w:rPr>
      </w:pPr>
      <w:r>
        <w:rPr>
          <w:rFonts w:hint="eastAsia" w:ascii="仿宋" w:hAnsi="仿宋" w:eastAsia="仿宋"/>
          <w:sz w:val="24"/>
          <w:szCs w:val="24"/>
        </w:rPr>
        <w:t xml:space="preserve"> 年    月    日</w:t>
      </w:r>
    </w:p>
    <w:p>
      <w:pPr>
        <w:pStyle w:val="27"/>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7"/>
        <w:spacing w:line="360" w:lineRule="auto"/>
        <w:ind w:firstLine="0" w:firstLineChars="0"/>
        <w:jc w:val="left"/>
        <w:rPr>
          <w:rFonts w:hint="eastAsia" w:ascii="仿宋" w:hAnsi="仿宋" w:eastAsia="仿宋"/>
          <w:kern w:val="44"/>
          <w:sz w:val="24"/>
          <w:szCs w:val="24"/>
        </w:rPr>
      </w:pPr>
      <w:r>
        <w:rPr>
          <w:rFonts w:hint="eastAsia" w:ascii="仿宋" w:hAnsi="仿宋" w:eastAsia="仿宋"/>
          <w:kern w:val="44"/>
          <w:sz w:val="24"/>
          <w:szCs w:val="24"/>
        </w:rPr>
        <w:t xml:space="preserve"> </w:t>
      </w:r>
    </w:p>
    <w:p>
      <w:pPr>
        <w:pStyle w:val="27"/>
        <w:spacing w:line="360" w:lineRule="auto"/>
        <w:ind w:firstLine="0" w:firstLineChars="0"/>
        <w:jc w:val="left"/>
        <w:rPr>
          <w:rFonts w:hint="eastAsia" w:ascii="仿宋" w:hAnsi="仿宋" w:eastAsia="仿宋"/>
          <w:kern w:val="44"/>
          <w:sz w:val="24"/>
          <w:szCs w:val="24"/>
        </w:rPr>
      </w:pPr>
    </w:p>
    <w:p>
      <w:pPr>
        <w:pStyle w:val="27"/>
        <w:spacing w:line="360" w:lineRule="auto"/>
        <w:ind w:firstLine="0" w:firstLineChars="0"/>
        <w:jc w:val="left"/>
        <w:rPr>
          <w:rFonts w:hint="eastAsia" w:ascii="仿宋" w:hAnsi="仿宋" w:eastAsia="仿宋"/>
          <w:kern w:val="44"/>
          <w:sz w:val="24"/>
          <w:szCs w:val="24"/>
        </w:rPr>
      </w:pPr>
    </w:p>
    <w:p>
      <w:pPr>
        <w:pStyle w:val="38"/>
        <w:spacing w:line="360" w:lineRule="auto"/>
        <w:rPr>
          <w:rFonts w:hint="eastAsia" w:ascii="仿宋" w:hAnsi="仿宋" w:eastAsia="仿宋" w:cs="黑体"/>
          <w:b/>
          <w:kern w:val="0"/>
          <w:sz w:val="24"/>
          <w:szCs w:val="24"/>
        </w:rPr>
      </w:pPr>
      <w:r>
        <w:rPr>
          <w:rFonts w:ascii="仿宋" w:hAnsi="仿宋" w:eastAsia="仿宋"/>
          <w:sz w:val="24"/>
          <w:szCs w:val="24"/>
        </w:rPr>
        <w:drawing>
          <wp:anchor distT="0" distB="0" distL="114300" distR="114300" simplePos="0" relativeHeight="251660288" behindDoc="0" locked="0" layoutInCell="1" allowOverlap="1">
            <wp:simplePos x="0" y="0"/>
            <wp:positionH relativeFrom="column">
              <wp:posOffset>-41275</wp:posOffset>
            </wp:positionH>
            <wp:positionV relativeFrom="paragraph">
              <wp:posOffset>840740</wp:posOffset>
            </wp:positionV>
            <wp:extent cx="5708650" cy="3796665"/>
            <wp:effectExtent l="0" t="0" r="6350" b="13335"/>
            <wp:wrapSquare wrapText="bothSides"/>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4"/>
                    <a:stretch>
                      <a:fillRect/>
                    </a:stretch>
                  </pic:blipFill>
                  <pic:spPr>
                    <a:xfrm>
                      <a:off x="0" y="0"/>
                      <a:ext cx="5708650" cy="3796665"/>
                    </a:xfrm>
                    <a:prstGeom prst="rect">
                      <a:avLst/>
                    </a:prstGeom>
                    <a:noFill/>
                    <a:ln>
                      <a:noFill/>
                    </a:ln>
                  </pic:spPr>
                </pic:pic>
              </a:graphicData>
            </a:graphic>
          </wp:anchor>
        </w:drawing>
      </w:r>
      <w:r>
        <w:rPr>
          <w:rFonts w:ascii="仿宋" w:hAnsi="仿宋" w:eastAsia="仿宋"/>
          <w:sz w:val="24"/>
        </w:rPr>
        <w:drawing>
          <wp:anchor distT="0" distB="0" distL="114300" distR="114300" simplePos="0" relativeHeight="251659264" behindDoc="0" locked="0" layoutInCell="1" allowOverlap="1">
            <wp:simplePos x="0" y="0"/>
            <wp:positionH relativeFrom="column">
              <wp:posOffset>-47625</wp:posOffset>
            </wp:positionH>
            <wp:positionV relativeFrom="paragraph">
              <wp:posOffset>5031740</wp:posOffset>
            </wp:positionV>
            <wp:extent cx="5796280" cy="3346450"/>
            <wp:effectExtent l="0" t="0" r="13970" b="6350"/>
            <wp:wrapSquare wrapText="bothSides"/>
            <wp:docPr id="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2"/>
                    <pic:cNvPicPr>
                      <a:picLocks noChangeAspect="1"/>
                    </pic:cNvPicPr>
                  </pic:nvPicPr>
                  <pic:blipFill>
                    <a:blip r:embed="rId5"/>
                    <a:stretch>
                      <a:fillRect/>
                    </a:stretch>
                  </pic:blipFill>
                  <pic:spPr>
                    <a:xfrm>
                      <a:off x="0" y="0"/>
                      <a:ext cx="5796280" cy="3346450"/>
                    </a:xfrm>
                    <a:prstGeom prst="rect">
                      <a:avLst/>
                    </a:prstGeom>
                    <a:noFill/>
                    <a:ln>
                      <a:noFill/>
                    </a:ln>
                  </pic:spPr>
                </pic:pic>
              </a:graphicData>
            </a:graphic>
          </wp:anchor>
        </w:drawing>
      </w:r>
      <w:r>
        <w:rPr>
          <w:rFonts w:hint="eastAsia" w:ascii="仿宋" w:hAnsi="仿宋" w:eastAsia="仿宋" w:cs="黑体"/>
          <w:b/>
          <w:kern w:val="0"/>
          <w:sz w:val="24"/>
          <w:szCs w:val="24"/>
        </w:rPr>
        <w:t>附截图（需盖章）：</w:t>
      </w:r>
    </w:p>
    <w:p>
      <w:pPr>
        <w:pageBreakBefore w:val="0"/>
        <w:widowControl w:val="0"/>
        <w:kinsoku/>
        <w:wordWrap/>
        <w:overflowPunct/>
        <w:topLinePunct w:val="0"/>
        <w:autoSpaceDE/>
        <w:autoSpaceDN/>
        <w:bidi w:val="0"/>
        <w:adjustRightInd/>
        <w:snapToGrid/>
        <w:spacing w:line="400" w:lineRule="exact"/>
        <w:textAlignment w:val="auto"/>
        <w:rPr>
          <w:rFonts w:hint="default"/>
          <w:lang w:val="en-US"/>
        </w:rPr>
      </w:pPr>
    </w:p>
    <w:p>
      <w:pPr>
        <w:pStyle w:val="2"/>
        <w:rPr>
          <w:rFonts w:hint="default"/>
          <w:lang w:val="en-US"/>
        </w:rPr>
      </w:pPr>
    </w:p>
    <w:p>
      <w:pPr>
        <w:rPr>
          <w:rFonts w:hint="default"/>
          <w:lang w:val="en-US"/>
        </w:rPr>
      </w:pPr>
    </w:p>
    <w:p>
      <w:pPr>
        <w:pageBreakBefore w:val="0"/>
        <w:widowControl w:val="0"/>
        <w:kinsoku/>
        <w:wordWrap/>
        <w:overflowPunct/>
        <w:topLinePunct w:val="0"/>
        <w:autoSpaceDE/>
        <w:autoSpaceDN/>
        <w:bidi w:val="0"/>
        <w:adjustRightInd/>
        <w:snapToGrid/>
        <w:spacing w:line="400" w:lineRule="exact"/>
        <w:textAlignment w:val="auto"/>
        <w:rPr>
          <w:rFonts w:hint="eastAsia"/>
          <w:lang w:val="en-US"/>
        </w:rPr>
      </w:pPr>
      <w:r>
        <w:rPr>
          <w:rFonts w:hint="eastAsia" w:ascii="仿宋" w:hAnsi="仿宋" w:eastAsia="仿宋" w:cs="Times New Roman"/>
          <w:sz w:val="24"/>
          <w:szCs w:val="24"/>
          <w:lang w:val="en-US" w:eastAsia="zh-CN"/>
        </w:rPr>
        <w:t>附件四：</w:t>
      </w:r>
      <w:r>
        <w:rPr>
          <w:rFonts w:hint="eastAsia" w:ascii="楷体" w:hAnsi="楷体" w:eastAsia="楷体" w:cs="楷体"/>
          <w:bCs/>
          <w:sz w:val="24"/>
          <w:szCs w:val="24"/>
          <w:lang w:val="en-US" w:eastAsia="zh-CN"/>
        </w:rPr>
        <w:t>报价单位认为需要提供的其他文件（格式自拟）</w:t>
      </w:r>
    </w:p>
    <w:p>
      <w:pPr>
        <w:pStyle w:val="2"/>
        <w:rPr>
          <w:rFonts w:hint="default"/>
          <w:lang w:val="en-US"/>
        </w:rPr>
      </w:pPr>
    </w:p>
    <w:sectPr>
      <w:pgSz w:w="11906" w:h="16838"/>
      <w:pgMar w:top="1440" w:right="180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964E8"/>
    <w:multiLevelType w:val="singleLevel"/>
    <w:tmpl w:val="913964E8"/>
    <w:lvl w:ilvl="0" w:tentative="0">
      <w:start w:val="1"/>
      <w:numFmt w:val="decimal"/>
      <w:suff w:val="nothing"/>
      <w:lvlText w:val="%1、"/>
      <w:lvlJc w:val="left"/>
    </w:lvl>
  </w:abstractNum>
  <w:abstractNum w:abstractNumId="1">
    <w:nsid w:val="20B61C33"/>
    <w:multiLevelType w:val="multilevel"/>
    <w:tmpl w:val="20B61C33"/>
    <w:lvl w:ilvl="0" w:tentative="0">
      <w:start w:val="1"/>
      <w:numFmt w:val="decimal"/>
      <w:lvlText w:val="%1"/>
      <w:lvlJc w:val="left"/>
      <w:pPr>
        <w:ind w:left="425" w:hanging="425"/>
      </w:pPr>
      <w:rPr>
        <w:rFonts w:hint="default" w:ascii="Times New Roman" w:hAnsi="Times New Roman" w:cs="Times New Roman"/>
        <w:sz w:val="24"/>
        <w:szCs w:val="24"/>
      </w:rPr>
    </w:lvl>
    <w:lvl w:ilvl="1" w:tentative="0">
      <w:start w:val="1"/>
      <w:numFmt w:val="decimal"/>
      <w:lvlText w:val="%1.%2"/>
      <w:lvlJc w:val="left"/>
      <w:pPr>
        <w:ind w:left="1843" w:hanging="425"/>
      </w:pPr>
      <w:rPr>
        <w:rFonts w:hint="default" w:ascii="Times New Roman" w:hAnsi="Times New Roman" w:cs="Times New Roman"/>
        <w:sz w:val="24"/>
        <w:szCs w:val="24"/>
      </w:rPr>
    </w:lvl>
    <w:lvl w:ilvl="2" w:tentative="0">
      <w:start w:val="1"/>
      <w:numFmt w:val="decimal"/>
      <w:lvlText w:val="%1.%2.%3"/>
      <w:lvlJc w:val="left"/>
      <w:pPr>
        <w:ind w:left="1275" w:hanging="425"/>
      </w:pPr>
      <w:rPr>
        <w:rFonts w:hint="default" w:ascii="Times New Roman" w:hAnsi="Times New Roman" w:cs="Times New Roman"/>
      </w:rPr>
    </w:lvl>
    <w:lvl w:ilvl="3" w:tentative="0">
      <w:start w:val="1"/>
      <w:numFmt w:val="decimal"/>
      <w:lvlText w:val="%1.%2.%3.%4"/>
      <w:lvlJc w:val="left"/>
      <w:pPr>
        <w:ind w:left="1700" w:hanging="425"/>
      </w:pPr>
      <w:rPr>
        <w:rFonts w:hint="default" w:ascii="Times New Roman" w:hAnsi="Times New Roman" w:cs="Times New Roman"/>
      </w:rPr>
    </w:lvl>
    <w:lvl w:ilvl="4" w:tentative="0">
      <w:start w:val="1"/>
      <w:numFmt w:val="decimal"/>
      <w:lvlText w:val="%1.%2.%3.%4.%5"/>
      <w:lvlJc w:val="left"/>
      <w:pPr>
        <w:ind w:left="2125" w:hanging="425"/>
      </w:pPr>
      <w:rPr>
        <w:rFonts w:hint="default" w:ascii="Times New Roman" w:hAnsi="Times New Roman" w:cs="Times New Roman"/>
      </w:rPr>
    </w:lvl>
    <w:lvl w:ilvl="5" w:tentative="0">
      <w:start w:val="1"/>
      <w:numFmt w:val="decimal"/>
      <w:lvlText w:val="%1.%2.%3.%4.%5.%6"/>
      <w:lvlJc w:val="left"/>
      <w:pPr>
        <w:ind w:left="2550" w:hanging="425"/>
      </w:pPr>
      <w:rPr>
        <w:rFonts w:hint="default" w:ascii="Times New Roman" w:hAnsi="Times New Roman" w:cs="Times New Roman"/>
      </w:rPr>
    </w:lvl>
    <w:lvl w:ilvl="6" w:tentative="0">
      <w:start w:val="1"/>
      <w:numFmt w:val="decimal"/>
      <w:lvlText w:val="%1.%2.%3.%4.%5.%6.%7"/>
      <w:lvlJc w:val="left"/>
      <w:pPr>
        <w:ind w:left="2975" w:hanging="425"/>
      </w:pPr>
      <w:rPr>
        <w:rFonts w:hint="default" w:ascii="Times New Roman" w:hAnsi="Times New Roman" w:cs="Times New Roman"/>
      </w:rPr>
    </w:lvl>
    <w:lvl w:ilvl="7" w:tentative="0">
      <w:start w:val="1"/>
      <w:numFmt w:val="decimal"/>
      <w:lvlText w:val="%1.%2.%3.%4.%5.%6.%7.%8"/>
      <w:lvlJc w:val="left"/>
      <w:pPr>
        <w:ind w:left="3400" w:hanging="425"/>
      </w:pPr>
      <w:rPr>
        <w:rFonts w:hint="default" w:ascii="Times New Roman" w:hAnsi="Times New Roman" w:cs="Times New Roman"/>
      </w:rPr>
    </w:lvl>
    <w:lvl w:ilvl="8" w:tentative="0">
      <w:start w:val="1"/>
      <w:numFmt w:val="decimal"/>
      <w:lvlText w:val="%1.%2.%3.%4.%5.%6.%7.%8.%9"/>
      <w:lvlJc w:val="left"/>
      <w:pPr>
        <w:ind w:left="3825" w:hanging="425"/>
      </w:pPr>
      <w:rPr>
        <w:rFonts w:hint="default" w:ascii="Times New Roman" w:hAnsi="Times New Roman" w:cs="Times New Roman"/>
      </w:rPr>
    </w:lvl>
  </w:abstractNum>
  <w:abstractNum w:abstractNumId="2">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E9B3944"/>
    <w:multiLevelType w:val="singleLevel"/>
    <w:tmpl w:val="7E9B3944"/>
    <w:lvl w:ilvl="0" w:tentative="0">
      <w:start w:val="1"/>
      <w:numFmt w:val="chineseCounting"/>
      <w:suff w:val="nothing"/>
      <w:lvlText w:val="%1、"/>
      <w:lvlJc w:val="left"/>
      <w:rPr>
        <w:rFonts w:hint="eastAsia"/>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A07BA"/>
    <w:rsid w:val="000C2EE7"/>
    <w:rsid w:val="00165A1D"/>
    <w:rsid w:val="00172A27"/>
    <w:rsid w:val="00256431"/>
    <w:rsid w:val="002D53C0"/>
    <w:rsid w:val="002E3CD7"/>
    <w:rsid w:val="00305FCC"/>
    <w:rsid w:val="004036CE"/>
    <w:rsid w:val="00445F3F"/>
    <w:rsid w:val="004F490E"/>
    <w:rsid w:val="00581D8A"/>
    <w:rsid w:val="005C3DEF"/>
    <w:rsid w:val="005C75A3"/>
    <w:rsid w:val="005E7B4D"/>
    <w:rsid w:val="00604E52"/>
    <w:rsid w:val="00612820"/>
    <w:rsid w:val="007434AE"/>
    <w:rsid w:val="00823B3B"/>
    <w:rsid w:val="008F0597"/>
    <w:rsid w:val="009579B0"/>
    <w:rsid w:val="00960906"/>
    <w:rsid w:val="00981CC8"/>
    <w:rsid w:val="00A5311F"/>
    <w:rsid w:val="00A741E6"/>
    <w:rsid w:val="00AE02D7"/>
    <w:rsid w:val="00B3767C"/>
    <w:rsid w:val="00B72181"/>
    <w:rsid w:val="00B76B04"/>
    <w:rsid w:val="00C55FAD"/>
    <w:rsid w:val="00C84769"/>
    <w:rsid w:val="00CE0085"/>
    <w:rsid w:val="00D14A8E"/>
    <w:rsid w:val="00D4048F"/>
    <w:rsid w:val="00ED7AB7"/>
    <w:rsid w:val="00F30767"/>
    <w:rsid w:val="00F43B19"/>
    <w:rsid w:val="00F97405"/>
    <w:rsid w:val="01007893"/>
    <w:rsid w:val="010E183C"/>
    <w:rsid w:val="01251EF0"/>
    <w:rsid w:val="01330404"/>
    <w:rsid w:val="0138621E"/>
    <w:rsid w:val="013B4C08"/>
    <w:rsid w:val="013D5BA6"/>
    <w:rsid w:val="015A60C5"/>
    <w:rsid w:val="016E6580"/>
    <w:rsid w:val="01792419"/>
    <w:rsid w:val="018F0B1E"/>
    <w:rsid w:val="01951DB9"/>
    <w:rsid w:val="01A303B3"/>
    <w:rsid w:val="01C039CE"/>
    <w:rsid w:val="01EE37A5"/>
    <w:rsid w:val="0208611B"/>
    <w:rsid w:val="023358A9"/>
    <w:rsid w:val="023615AF"/>
    <w:rsid w:val="024A4D97"/>
    <w:rsid w:val="02601A9E"/>
    <w:rsid w:val="02852330"/>
    <w:rsid w:val="028C773C"/>
    <w:rsid w:val="029810C9"/>
    <w:rsid w:val="029A3510"/>
    <w:rsid w:val="02AC3328"/>
    <w:rsid w:val="02B97306"/>
    <w:rsid w:val="02C62D99"/>
    <w:rsid w:val="02C649F6"/>
    <w:rsid w:val="02D264D3"/>
    <w:rsid w:val="02D62AD3"/>
    <w:rsid w:val="02E77606"/>
    <w:rsid w:val="02F900F0"/>
    <w:rsid w:val="030A27A5"/>
    <w:rsid w:val="030A5E0C"/>
    <w:rsid w:val="03173959"/>
    <w:rsid w:val="03215A31"/>
    <w:rsid w:val="035C1B9B"/>
    <w:rsid w:val="038C33CC"/>
    <w:rsid w:val="03AE3097"/>
    <w:rsid w:val="03B835CB"/>
    <w:rsid w:val="03D374CA"/>
    <w:rsid w:val="03D7388C"/>
    <w:rsid w:val="03DD306A"/>
    <w:rsid w:val="03E92771"/>
    <w:rsid w:val="04016E45"/>
    <w:rsid w:val="04512A9A"/>
    <w:rsid w:val="045F7637"/>
    <w:rsid w:val="04647342"/>
    <w:rsid w:val="047B2FED"/>
    <w:rsid w:val="04800691"/>
    <w:rsid w:val="04906F0D"/>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766D7"/>
    <w:rsid w:val="05800CAE"/>
    <w:rsid w:val="05964237"/>
    <w:rsid w:val="05A07863"/>
    <w:rsid w:val="05AA0535"/>
    <w:rsid w:val="05BA56F5"/>
    <w:rsid w:val="05C00463"/>
    <w:rsid w:val="05CA70D4"/>
    <w:rsid w:val="05EF1B36"/>
    <w:rsid w:val="05F7537D"/>
    <w:rsid w:val="063D3E8F"/>
    <w:rsid w:val="063E4AA0"/>
    <w:rsid w:val="06456A8C"/>
    <w:rsid w:val="064F2365"/>
    <w:rsid w:val="06606BFB"/>
    <w:rsid w:val="066958C6"/>
    <w:rsid w:val="066B1C96"/>
    <w:rsid w:val="06B0129E"/>
    <w:rsid w:val="06B81D95"/>
    <w:rsid w:val="06D12E83"/>
    <w:rsid w:val="06EE69EC"/>
    <w:rsid w:val="06F82B7E"/>
    <w:rsid w:val="07571D11"/>
    <w:rsid w:val="07826A4B"/>
    <w:rsid w:val="07BF12C2"/>
    <w:rsid w:val="07C6738E"/>
    <w:rsid w:val="07E74A05"/>
    <w:rsid w:val="084F59DE"/>
    <w:rsid w:val="087D7EB4"/>
    <w:rsid w:val="088038FF"/>
    <w:rsid w:val="08816951"/>
    <w:rsid w:val="08852E3A"/>
    <w:rsid w:val="08B140CE"/>
    <w:rsid w:val="08BC212A"/>
    <w:rsid w:val="08C3763E"/>
    <w:rsid w:val="08C506E5"/>
    <w:rsid w:val="08C52D6F"/>
    <w:rsid w:val="08E46EA7"/>
    <w:rsid w:val="08F700C6"/>
    <w:rsid w:val="090B6406"/>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4CEC"/>
    <w:rsid w:val="0A5E145B"/>
    <w:rsid w:val="0A64281B"/>
    <w:rsid w:val="0A840B51"/>
    <w:rsid w:val="0A8B04DC"/>
    <w:rsid w:val="0A9F717D"/>
    <w:rsid w:val="0AA9161C"/>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6D1CF5"/>
    <w:rsid w:val="0C6E5BE8"/>
    <w:rsid w:val="0C885FA2"/>
    <w:rsid w:val="0CA47578"/>
    <w:rsid w:val="0CBF4BF8"/>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966EA"/>
    <w:rsid w:val="0F262DE9"/>
    <w:rsid w:val="0F542633"/>
    <w:rsid w:val="0F5B66D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1105771"/>
    <w:rsid w:val="111E5122"/>
    <w:rsid w:val="112315AA"/>
    <w:rsid w:val="11236961"/>
    <w:rsid w:val="112D573C"/>
    <w:rsid w:val="112E2B27"/>
    <w:rsid w:val="11352AC3"/>
    <w:rsid w:val="114C5FF1"/>
    <w:rsid w:val="115241D9"/>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111232"/>
    <w:rsid w:val="122F07E2"/>
    <w:rsid w:val="12697AD8"/>
    <w:rsid w:val="12974DAB"/>
    <w:rsid w:val="12AB39AF"/>
    <w:rsid w:val="12CF6944"/>
    <w:rsid w:val="12D31474"/>
    <w:rsid w:val="12F266AE"/>
    <w:rsid w:val="12FE713F"/>
    <w:rsid w:val="130377D4"/>
    <w:rsid w:val="13191A65"/>
    <w:rsid w:val="1322619E"/>
    <w:rsid w:val="133B4F6A"/>
    <w:rsid w:val="13435E6F"/>
    <w:rsid w:val="13581549"/>
    <w:rsid w:val="13795301"/>
    <w:rsid w:val="13B103E8"/>
    <w:rsid w:val="13B43E61"/>
    <w:rsid w:val="13BB7800"/>
    <w:rsid w:val="13DF1642"/>
    <w:rsid w:val="13E65C0E"/>
    <w:rsid w:val="13FC2057"/>
    <w:rsid w:val="14191607"/>
    <w:rsid w:val="141B0D1A"/>
    <w:rsid w:val="141E3E26"/>
    <w:rsid w:val="1425541A"/>
    <w:rsid w:val="14517563"/>
    <w:rsid w:val="145233B5"/>
    <w:rsid w:val="14891FF9"/>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C90AA4"/>
    <w:rsid w:val="17D54619"/>
    <w:rsid w:val="17DE2FB7"/>
    <w:rsid w:val="17DE4D47"/>
    <w:rsid w:val="17EB1C10"/>
    <w:rsid w:val="18136FA0"/>
    <w:rsid w:val="18143491"/>
    <w:rsid w:val="181D6EA6"/>
    <w:rsid w:val="18492EF0"/>
    <w:rsid w:val="185254F4"/>
    <w:rsid w:val="185C5F13"/>
    <w:rsid w:val="185E6D88"/>
    <w:rsid w:val="18740F2C"/>
    <w:rsid w:val="187939A8"/>
    <w:rsid w:val="187E50BF"/>
    <w:rsid w:val="188B0B51"/>
    <w:rsid w:val="18A2459B"/>
    <w:rsid w:val="18C36111"/>
    <w:rsid w:val="18DE2ED2"/>
    <w:rsid w:val="18E06F8D"/>
    <w:rsid w:val="18E21560"/>
    <w:rsid w:val="18EB5025"/>
    <w:rsid w:val="190742CD"/>
    <w:rsid w:val="190D36A9"/>
    <w:rsid w:val="19304DCF"/>
    <w:rsid w:val="19442175"/>
    <w:rsid w:val="194476BE"/>
    <w:rsid w:val="1955782F"/>
    <w:rsid w:val="196F44CB"/>
    <w:rsid w:val="19723BF7"/>
    <w:rsid w:val="197A134F"/>
    <w:rsid w:val="197E4D27"/>
    <w:rsid w:val="198E78C5"/>
    <w:rsid w:val="19A857BB"/>
    <w:rsid w:val="19BA37C2"/>
    <w:rsid w:val="19DC2ECA"/>
    <w:rsid w:val="19E35721"/>
    <w:rsid w:val="19ED6C41"/>
    <w:rsid w:val="19FE7107"/>
    <w:rsid w:val="1A1C1CE5"/>
    <w:rsid w:val="1A234EFA"/>
    <w:rsid w:val="1A4E5D2F"/>
    <w:rsid w:val="1A75575B"/>
    <w:rsid w:val="1A7D0090"/>
    <w:rsid w:val="1AB319BE"/>
    <w:rsid w:val="1AD4393F"/>
    <w:rsid w:val="1AD77563"/>
    <w:rsid w:val="1AE509FF"/>
    <w:rsid w:val="1AE54FD5"/>
    <w:rsid w:val="1AEC06BC"/>
    <w:rsid w:val="1AF26D42"/>
    <w:rsid w:val="1B035639"/>
    <w:rsid w:val="1B2003AC"/>
    <w:rsid w:val="1B2F613A"/>
    <w:rsid w:val="1B2F6BA7"/>
    <w:rsid w:val="1B853D32"/>
    <w:rsid w:val="1B8835E4"/>
    <w:rsid w:val="1BC50BBF"/>
    <w:rsid w:val="1BDE1C65"/>
    <w:rsid w:val="1BEC49DB"/>
    <w:rsid w:val="1BEE0B84"/>
    <w:rsid w:val="1BFC7520"/>
    <w:rsid w:val="1C0B2F27"/>
    <w:rsid w:val="1C4231EC"/>
    <w:rsid w:val="1C43753B"/>
    <w:rsid w:val="1C4E11FC"/>
    <w:rsid w:val="1C56219C"/>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510BDB"/>
    <w:rsid w:val="1D551DAF"/>
    <w:rsid w:val="1D5B3CB8"/>
    <w:rsid w:val="1D8C3CD3"/>
    <w:rsid w:val="1DA1569E"/>
    <w:rsid w:val="1DBE5F86"/>
    <w:rsid w:val="1DD57D7F"/>
    <w:rsid w:val="1DD8126E"/>
    <w:rsid w:val="1E0740A2"/>
    <w:rsid w:val="1E0A51EF"/>
    <w:rsid w:val="1E48458C"/>
    <w:rsid w:val="1E552FF2"/>
    <w:rsid w:val="1E5A3B65"/>
    <w:rsid w:val="1E5D4FF0"/>
    <w:rsid w:val="1E6C14AB"/>
    <w:rsid w:val="1E9F5C7C"/>
    <w:rsid w:val="1E9F669B"/>
    <w:rsid w:val="1EA254C4"/>
    <w:rsid w:val="1ECF001D"/>
    <w:rsid w:val="1EDC0931"/>
    <w:rsid w:val="1EF06925"/>
    <w:rsid w:val="1EF85EBB"/>
    <w:rsid w:val="1F2A5C8F"/>
    <w:rsid w:val="1F3F7F12"/>
    <w:rsid w:val="1F550E6F"/>
    <w:rsid w:val="1F647CCA"/>
    <w:rsid w:val="1F6D7F66"/>
    <w:rsid w:val="1F6E7EA0"/>
    <w:rsid w:val="1F873CBF"/>
    <w:rsid w:val="1FA173F5"/>
    <w:rsid w:val="1FA94802"/>
    <w:rsid w:val="1FC67503"/>
    <w:rsid w:val="1FEF1512"/>
    <w:rsid w:val="1FF33877"/>
    <w:rsid w:val="1FF74072"/>
    <w:rsid w:val="200828C6"/>
    <w:rsid w:val="20085B73"/>
    <w:rsid w:val="200D0CA3"/>
    <w:rsid w:val="2029556A"/>
    <w:rsid w:val="2036713F"/>
    <w:rsid w:val="203C17F2"/>
    <w:rsid w:val="206105A6"/>
    <w:rsid w:val="206D1166"/>
    <w:rsid w:val="207F3560"/>
    <w:rsid w:val="20806BFB"/>
    <w:rsid w:val="20922904"/>
    <w:rsid w:val="209C15AC"/>
    <w:rsid w:val="20A377C7"/>
    <w:rsid w:val="20A90F70"/>
    <w:rsid w:val="20D00624"/>
    <w:rsid w:val="20F64A35"/>
    <w:rsid w:val="20FA3CE2"/>
    <w:rsid w:val="210D1A49"/>
    <w:rsid w:val="211C305E"/>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5F2771"/>
    <w:rsid w:val="227F0AA8"/>
    <w:rsid w:val="22811E51"/>
    <w:rsid w:val="228C7DBD"/>
    <w:rsid w:val="229E1AD7"/>
    <w:rsid w:val="22B51B4C"/>
    <w:rsid w:val="22E753A0"/>
    <w:rsid w:val="22F11013"/>
    <w:rsid w:val="23026758"/>
    <w:rsid w:val="23156A1D"/>
    <w:rsid w:val="2316669C"/>
    <w:rsid w:val="231B3959"/>
    <w:rsid w:val="23372454"/>
    <w:rsid w:val="237770F1"/>
    <w:rsid w:val="2379093F"/>
    <w:rsid w:val="237D5522"/>
    <w:rsid w:val="237E49F2"/>
    <w:rsid w:val="237F088B"/>
    <w:rsid w:val="239D2E24"/>
    <w:rsid w:val="239E0EFF"/>
    <w:rsid w:val="23B25C43"/>
    <w:rsid w:val="23BC668F"/>
    <w:rsid w:val="23CD03C9"/>
    <w:rsid w:val="23D0134E"/>
    <w:rsid w:val="23D14BD1"/>
    <w:rsid w:val="23D45A1D"/>
    <w:rsid w:val="23DC20B6"/>
    <w:rsid w:val="23DC5161"/>
    <w:rsid w:val="23E06F49"/>
    <w:rsid w:val="24160D4E"/>
    <w:rsid w:val="24217E53"/>
    <w:rsid w:val="243079AF"/>
    <w:rsid w:val="24364576"/>
    <w:rsid w:val="24470093"/>
    <w:rsid w:val="244A129E"/>
    <w:rsid w:val="244E01E1"/>
    <w:rsid w:val="24523F05"/>
    <w:rsid w:val="246A4D03"/>
    <w:rsid w:val="246B5060"/>
    <w:rsid w:val="247D4CEA"/>
    <w:rsid w:val="24CB43A2"/>
    <w:rsid w:val="24D136EA"/>
    <w:rsid w:val="250C526B"/>
    <w:rsid w:val="252044A2"/>
    <w:rsid w:val="25255746"/>
    <w:rsid w:val="25431230"/>
    <w:rsid w:val="255514E0"/>
    <w:rsid w:val="256453DD"/>
    <w:rsid w:val="25654636"/>
    <w:rsid w:val="2569146F"/>
    <w:rsid w:val="25783AE7"/>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83602"/>
    <w:rsid w:val="26627AEB"/>
    <w:rsid w:val="267473A3"/>
    <w:rsid w:val="267D7CB3"/>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26006E"/>
    <w:rsid w:val="28387423"/>
    <w:rsid w:val="28462B22"/>
    <w:rsid w:val="284D5F37"/>
    <w:rsid w:val="285E4DC9"/>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D76730"/>
    <w:rsid w:val="29D97869"/>
    <w:rsid w:val="2A193F65"/>
    <w:rsid w:val="2A567C96"/>
    <w:rsid w:val="2A5C3505"/>
    <w:rsid w:val="2A8320CC"/>
    <w:rsid w:val="2A9867EE"/>
    <w:rsid w:val="2AA6741A"/>
    <w:rsid w:val="2AE35882"/>
    <w:rsid w:val="2B1B6DC7"/>
    <w:rsid w:val="2B251E53"/>
    <w:rsid w:val="2B4D78BA"/>
    <w:rsid w:val="2B585E70"/>
    <w:rsid w:val="2B5B4633"/>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3424AE"/>
    <w:rsid w:val="2E81295C"/>
    <w:rsid w:val="2E855ADF"/>
    <w:rsid w:val="2E90145A"/>
    <w:rsid w:val="2E9B555A"/>
    <w:rsid w:val="2EA15034"/>
    <w:rsid w:val="2EC47C6B"/>
    <w:rsid w:val="2EE161F9"/>
    <w:rsid w:val="2EEE550E"/>
    <w:rsid w:val="2EFA1321"/>
    <w:rsid w:val="2F0C123B"/>
    <w:rsid w:val="2F104EF5"/>
    <w:rsid w:val="2F241D9C"/>
    <w:rsid w:val="2F483A05"/>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C73A2"/>
    <w:rsid w:val="310D4A9A"/>
    <w:rsid w:val="311623C2"/>
    <w:rsid w:val="31184E64"/>
    <w:rsid w:val="31310D4C"/>
    <w:rsid w:val="31414A5E"/>
    <w:rsid w:val="3146420E"/>
    <w:rsid w:val="314D2FF9"/>
    <w:rsid w:val="31653999"/>
    <w:rsid w:val="316B25F0"/>
    <w:rsid w:val="316E4972"/>
    <w:rsid w:val="3172742B"/>
    <w:rsid w:val="318375C6"/>
    <w:rsid w:val="318C5DE1"/>
    <w:rsid w:val="31B217A1"/>
    <w:rsid w:val="31DB2ECD"/>
    <w:rsid w:val="31E831E8"/>
    <w:rsid w:val="321336D2"/>
    <w:rsid w:val="321D7C9D"/>
    <w:rsid w:val="322936D7"/>
    <w:rsid w:val="32320BDC"/>
    <w:rsid w:val="3235285C"/>
    <w:rsid w:val="323C48F6"/>
    <w:rsid w:val="324F0BF0"/>
    <w:rsid w:val="324F14D9"/>
    <w:rsid w:val="324F7611"/>
    <w:rsid w:val="32792E84"/>
    <w:rsid w:val="327970B9"/>
    <w:rsid w:val="32A56CF0"/>
    <w:rsid w:val="32A73FA5"/>
    <w:rsid w:val="32C42CAC"/>
    <w:rsid w:val="32DA6A91"/>
    <w:rsid w:val="32E06A79"/>
    <w:rsid w:val="32E12CEE"/>
    <w:rsid w:val="32F02819"/>
    <w:rsid w:val="32F9052C"/>
    <w:rsid w:val="32FB3E09"/>
    <w:rsid w:val="33121AA1"/>
    <w:rsid w:val="3317335F"/>
    <w:rsid w:val="331A4072"/>
    <w:rsid w:val="3332073B"/>
    <w:rsid w:val="333F77DD"/>
    <w:rsid w:val="33650EE0"/>
    <w:rsid w:val="33814278"/>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A464F9"/>
    <w:rsid w:val="38AC3066"/>
    <w:rsid w:val="38AC436C"/>
    <w:rsid w:val="38B87B6E"/>
    <w:rsid w:val="38BF0F3E"/>
    <w:rsid w:val="38C95ED9"/>
    <w:rsid w:val="38CA300C"/>
    <w:rsid w:val="38D06594"/>
    <w:rsid w:val="38E060F1"/>
    <w:rsid w:val="38FC7121"/>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8227E5"/>
    <w:rsid w:val="3AB013BF"/>
    <w:rsid w:val="3AB6148B"/>
    <w:rsid w:val="3AB82B8A"/>
    <w:rsid w:val="3AD7234B"/>
    <w:rsid w:val="3ADE1AD5"/>
    <w:rsid w:val="3AE56805"/>
    <w:rsid w:val="3B132590"/>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C03974"/>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C8A"/>
    <w:rsid w:val="3E596005"/>
    <w:rsid w:val="3E833A1C"/>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F14D9"/>
    <w:rsid w:val="40477AD1"/>
    <w:rsid w:val="405B2D35"/>
    <w:rsid w:val="406608CC"/>
    <w:rsid w:val="406C1FA6"/>
    <w:rsid w:val="407630B7"/>
    <w:rsid w:val="407B0128"/>
    <w:rsid w:val="407E43D4"/>
    <w:rsid w:val="40873868"/>
    <w:rsid w:val="40902190"/>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3773BA"/>
    <w:rsid w:val="42386C01"/>
    <w:rsid w:val="423A336B"/>
    <w:rsid w:val="424E1D6E"/>
    <w:rsid w:val="4252254E"/>
    <w:rsid w:val="425B59EA"/>
    <w:rsid w:val="425D2BCC"/>
    <w:rsid w:val="42937CAF"/>
    <w:rsid w:val="4298644F"/>
    <w:rsid w:val="429E6876"/>
    <w:rsid w:val="42AD2B71"/>
    <w:rsid w:val="42BC56D0"/>
    <w:rsid w:val="430168B8"/>
    <w:rsid w:val="430C159E"/>
    <w:rsid w:val="431C0FD8"/>
    <w:rsid w:val="431F3C04"/>
    <w:rsid w:val="432C69BC"/>
    <w:rsid w:val="4377327F"/>
    <w:rsid w:val="43904469"/>
    <w:rsid w:val="43933CA0"/>
    <w:rsid w:val="43A82FD5"/>
    <w:rsid w:val="43B91DAA"/>
    <w:rsid w:val="43C83510"/>
    <w:rsid w:val="44081F09"/>
    <w:rsid w:val="440A2F83"/>
    <w:rsid w:val="441901BE"/>
    <w:rsid w:val="445C5D26"/>
    <w:rsid w:val="446E1F07"/>
    <w:rsid w:val="448B2102"/>
    <w:rsid w:val="449900F5"/>
    <w:rsid w:val="44A4522B"/>
    <w:rsid w:val="44B17003"/>
    <w:rsid w:val="451F55A0"/>
    <w:rsid w:val="45210077"/>
    <w:rsid w:val="453C7D64"/>
    <w:rsid w:val="453F7628"/>
    <w:rsid w:val="45403E4D"/>
    <w:rsid w:val="454050A9"/>
    <w:rsid w:val="45407AB5"/>
    <w:rsid w:val="459704A1"/>
    <w:rsid w:val="45A50F46"/>
    <w:rsid w:val="45B11EE5"/>
    <w:rsid w:val="45B95841"/>
    <w:rsid w:val="45C20E9E"/>
    <w:rsid w:val="45DA3724"/>
    <w:rsid w:val="45FA6EE8"/>
    <w:rsid w:val="461D4A97"/>
    <w:rsid w:val="461F40D3"/>
    <w:rsid w:val="4646705B"/>
    <w:rsid w:val="46513FED"/>
    <w:rsid w:val="468C02FD"/>
    <w:rsid w:val="469446D6"/>
    <w:rsid w:val="469A39EA"/>
    <w:rsid w:val="46AB2646"/>
    <w:rsid w:val="46B01C29"/>
    <w:rsid w:val="46CA1E85"/>
    <w:rsid w:val="46E37D9E"/>
    <w:rsid w:val="46EE42DF"/>
    <w:rsid w:val="46FE3D85"/>
    <w:rsid w:val="470C633F"/>
    <w:rsid w:val="47271E3C"/>
    <w:rsid w:val="47372735"/>
    <w:rsid w:val="475F0927"/>
    <w:rsid w:val="47AB7402"/>
    <w:rsid w:val="47AC276C"/>
    <w:rsid w:val="47AD05EC"/>
    <w:rsid w:val="47AD2D46"/>
    <w:rsid w:val="47E24779"/>
    <w:rsid w:val="47FD0920"/>
    <w:rsid w:val="48136734"/>
    <w:rsid w:val="48141AAF"/>
    <w:rsid w:val="481B3258"/>
    <w:rsid w:val="482728EE"/>
    <w:rsid w:val="483F0D04"/>
    <w:rsid w:val="485830BD"/>
    <w:rsid w:val="485C3C19"/>
    <w:rsid w:val="488D33C5"/>
    <w:rsid w:val="489E3831"/>
    <w:rsid w:val="48A82E66"/>
    <w:rsid w:val="48B71159"/>
    <w:rsid w:val="48CB3FD3"/>
    <w:rsid w:val="48CE3A51"/>
    <w:rsid w:val="48E13ECD"/>
    <w:rsid w:val="48EB1726"/>
    <w:rsid w:val="48FF78DE"/>
    <w:rsid w:val="49242E99"/>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44CD1"/>
    <w:rsid w:val="4AEE52AC"/>
    <w:rsid w:val="4AF41787"/>
    <w:rsid w:val="4B0444D9"/>
    <w:rsid w:val="4B13279D"/>
    <w:rsid w:val="4B244C8F"/>
    <w:rsid w:val="4B5936AA"/>
    <w:rsid w:val="4B5C462F"/>
    <w:rsid w:val="4B5D1EF4"/>
    <w:rsid w:val="4B5F55B3"/>
    <w:rsid w:val="4B6D0492"/>
    <w:rsid w:val="4B6D785E"/>
    <w:rsid w:val="4B745E42"/>
    <w:rsid w:val="4B8735C1"/>
    <w:rsid w:val="4B8F2DC3"/>
    <w:rsid w:val="4B9E091B"/>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185106"/>
    <w:rsid w:val="4D22443E"/>
    <w:rsid w:val="4D2401EC"/>
    <w:rsid w:val="4D316B33"/>
    <w:rsid w:val="4D321DC9"/>
    <w:rsid w:val="4D590BF1"/>
    <w:rsid w:val="4D68550E"/>
    <w:rsid w:val="4D6B1F05"/>
    <w:rsid w:val="4D8718F8"/>
    <w:rsid w:val="4D8D402F"/>
    <w:rsid w:val="4DA9749E"/>
    <w:rsid w:val="4DBC1DFB"/>
    <w:rsid w:val="4DBD4199"/>
    <w:rsid w:val="4DC12B9F"/>
    <w:rsid w:val="4DD36A02"/>
    <w:rsid w:val="4DE44058"/>
    <w:rsid w:val="4DE4442C"/>
    <w:rsid w:val="4E0D0A85"/>
    <w:rsid w:val="4E100AB2"/>
    <w:rsid w:val="4E233B3D"/>
    <w:rsid w:val="4E6B078B"/>
    <w:rsid w:val="4E8D4700"/>
    <w:rsid w:val="4EA07AD7"/>
    <w:rsid w:val="4EBD3D3C"/>
    <w:rsid w:val="4EC36A56"/>
    <w:rsid w:val="4EED4CCC"/>
    <w:rsid w:val="4EF07430"/>
    <w:rsid w:val="4F0831DA"/>
    <w:rsid w:val="4F0B36E6"/>
    <w:rsid w:val="4F3E6166"/>
    <w:rsid w:val="4F5178A3"/>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B6517B"/>
    <w:rsid w:val="50F04F55"/>
    <w:rsid w:val="512A3E35"/>
    <w:rsid w:val="51413A5A"/>
    <w:rsid w:val="51415D27"/>
    <w:rsid w:val="514D4018"/>
    <w:rsid w:val="51596572"/>
    <w:rsid w:val="517F4BC4"/>
    <w:rsid w:val="51A20030"/>
    <w:rsid w:val="51A73B0A"/>
    <w:rsid w:val="51C407B0"/>
    <w:rsid w:val="51C615D4"/>
    <w:rsid w:val="51CB0037"/>
    <w:rsid w:val="51E84F86"/>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E27DF"/>
    <w:rsid w:val="54843BB7"/>
    <w:rsid w:val="54FB4AFB"/>
    <w:rsid w:val="55402408"/>
    <w:rsid w:val="55413F6A"/>
    <w:rsid w:val="5553267F"/>
    <w:rsid w:val="55584384"/>
    <w:rsid w:val="555A26FB"/>
    <w:rsid w:val="5570591E"/>
    <w:rsid w:val="55934C35"/>
    <w:rsid w:val="559B18F9"/>
    <w:rsid w:val="55A84C13"/>
    <w:rsid w:val="55E8288A"/>
    <w:rsid w:val="55F310CC"/>
    <w:rsid w:val="55F70216"/>
    <w:rsid w:val="56013ABB"/>
    <w:rsid w:val="563D4EBF"/>
    <w:rsid w:val="565A2562"/>
    <w:rsid w:val="565B7F3A"/>
    <w:rsid w:val="5665084A"/>
    <w:rsid w:val="56834D00"/>
    <w:rsid w:val="568432FD"/>
    <w:rsid w:val="568C4C53"/>
    <w:rsid w:val="569430D1"/>
    <w:rsid w:val="56945527"/>
    <w:rsid w:val="56A207E4"/>
    <w:rsid w:val="56A516E6"/>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8020A"/>
    <w:rsid w:val="57D10DA1"/>
    <w:rsid w:val="580C7901"/>
    <w:rsid w:val="58160449"/>
    <w:rsid w:val="582721E3"/>
    <w:rsid w:val="583D1F4B"/>
    <w:rsid w:val="5841015B"/>
    <w:rsid w:val="5860518C"/>
    <w:rsid w:val="586256A7"/>
    <w:rsid w:val="58840844"/>
    <w:rsid w:val="589C3163"/>
    <w:rsid w:val="58A310F9"/>
    <w:rsid w:val="58A42014"/>
    <w:rsid w:val="58D91F55"/>
    <w:rsid w:val="58E53F4D"/>
    <w:rsid w:val="59144198"/>
    <w:rsid w:val="59456704"/>
    <w:rsid w:val="5950021B"/>
    <w:rsid w:val="59502516"/>
    <w:rsid w:val="5955281D"/>
    <w:rsid w:val="59A26A9D"/>
    <w:rsid w:val="59B014A3"/>
    <w:rsid w:val="59B05DB3"/>
    <w:rsid w:val="59D04D4F"/>
    <w:rsid w:val="59D51EEC"/>
    <w:rsid w:val="59DA6BF7"/>
    <w:rsid w:val="59E37225"/>
    <w:rsid w:val="5A0C6784"/>
    <w:rsid w:val="5A2921FA"/>
    <w:rsid w:val="5A4B01B0"/>
    <w:rsid w:val="5A4B611D"/>
    <w:rsid w:val="5A4D3444"/>
    <w:rsid w:val="5A5C0A61"/>
    <w:rsid w:val="5A682201"/>
    <w:rsid w:val="5A6F65C2"/>
    <w:rsid w:val="5A8B4626"/>
    <w:rsid w:val="5AA453D4"/>
    <w:rsid w:val="5AB4402F"/>
    <w:rsid w:val="5AEA1628"/>
    <w:rsid w:val="5AF63138"/>
    <w:rsid w:val="5AF7549A"/>
    <w:rsid w:val="5AFF3461"/>
    <w:rsid w:val="5B141A61"/>
    <w:rsid w:val="5B1E41F8"/>
    <w:rsid w:val="5B1E6E24"/>
    <w:rsid w:val="5B2118F7"/>
    <w:rsid w:val="5B4C1057"/>
    <w:rsid w:val="5B603D7C"/>
    <w:rsid w:val="5B885541"/>
    <w:rsid w:val="5BC16969"/>
    <w:rsid w:val="5BD777E6"/>
    <w:rsid w:val="5C122D5E"/>
    <w:rsid w:val="5C330BCF"/>
    <w:rsid w:val="5C733038"/>
    <w:rsid w:val="5C737D2C"/>
    <w:rsid w:val="5C7E6E4B"/>
    <w:rsid w:val="5C817DEC"/>
    <w:rsid w:val="5C8F2968"/>
    <w:rsid w:val="5C9A2097"/>
    <w:rsid w:val="5CAB6A15"/>
    <w:rsid w:val="5CAC7202"/>
    <w:rsid w:val="5CB26DE8"/>
    <w:rsid w:val="5CD21B5F"/>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E35818"/>
    <w:rsid w:val="5DEA5196"/>
    <w:rsid w:val="5DFB71CE"/>
    <w:rsid w:val="5E3E5798"/>
    <w:rsid w:val="5E7B3AF8"/>
    <w:rsid w:val="5E7D703F"/>
    <w:rsid w:val="5E8A14A9"/>
    <w:rsid w:val="5E952F92"/>
    <w:rsid w:val="5EB804F7"/>
    <w:rsid w:val="5EC41684"/>
    <w:rsid w:val="5EDB3C26"/>
    <w:rsid w:val="5F1C698C"/>
    <w:rsid w:val="5F2E10CF"/>
    <w:rsid w:val="5F393BBF"/>
    <w:rsid w:val="5F503E46"/>
    <w:rsid w:val="5F5825D3"/>
    <w:rsid w:val="5F6B6599"/>
    <w:rsid w:val="5FB07830"/>
    <w:rsid w:val="5FB15CCE"/>
    <w:rsid w:val="5FD149C5"/>
    <w:rsid w:val="5FD501C7"/>
    <w:rsid w:val="5FE71C0A"/>
    <w:rsid w:val="5FFD3F1E"/>
    <w:rsid w:val="600B0C58"/>
    <w:rsid w:val="600B2AA4"/>
    <w:rsid w:val="600D74F7"/>
    <w:rsid w:val="60195438"/>
    <w:rsid w:val="601A2EBA"/>
    <w:rsid w:val="60261E8C"/>
    <w:rsid w:val="6028529C"/>
    <w:rsid w:val="605C6A77"/>
    <w:rsid w:val="607A0954"/>
    <w:rsid w:val="60843A2C"/>
    <w:rsid w:val="608E3C91"/>
    <w:rsid w:val="60990088"/>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77DA0"/>
    <w:rsid w:val="61D07906"/>
    <w:rsid w:val="61E345CA"/>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DC3063"/>
    <w:rsid w:val="68E1201D"/>
    <w:rsid w:val="68EB3277"/>
    <w:rsid w:val="68EC0422"/>
    <w:rsid w:val="6923694C"/>
    <w:rsid w:val="69237EF2"/>
    <w:rsid w:val="69241843"/>
    <w:rsid w:val="693115D2"/>
    <w:rsid w:val="695D1FE3"/>
    <w:rsid w:val="696714E2"/>
    <w:rsid w:val="6969738E"/>
    <w:rsid w:val="69725190"/>
    <w:rsid w:val="697A1E70"/>
    <w:rsid w:val="69840D94"/>
    <w:rsid w:val="698A6FB3"/>
    <w:rsid w:val="69966649"/>
    <w:rsid w:val="69DE4130"/>
    <w:rsid w:val="6A0016F1"/>
    <w:rsid w:val="6A373BFC"/>
    <w:rsid w:val="6A7449B2"/>
    <w:rsid w:val="6A9929F4"/>
    <w:rsid w:val="6ACB2E33"/>
    <w:rsid w:val="6ACC52E9"/>
    <w:rsid w:val="6ACF763D"/>
    <w:rsid w:val="6AD63A5F"/>
    <w:rsid w:val="6AE01CC6"/>
    <w:rsid w:val="6AED54C5"/>
    <w:rsid w:val="6B2A231E"/>
    <w:rsid w:val="6B2E7664"/>
    <w:rsid w:val="6B586ED0"/>
    <w:rsid w:val="6B940900"/>
    <w:rsid w:val="6B9659D1"/>
    <w:rsid w:val="6B992596"/>
    <w:rsid w:val="6BA40927"/>
    <w:rsid w:val="6BAC5136"/>
    <w:rsid w:val="6BB37DB8"/>
    <w:rsid w:val="6BBC4E35"/>
    <w:rsid w:val="6BC37142"/>
    <w:rsid w:val="6BC859EC"/>
    <w:rsid w:val="6BCB1147"/>
    <w:rsid w:val="6BF16ADA"/>
    <w:rsid w:val="6C0B4072"/>
    <w:rsid w:val="6C105A58"/>
    <w:rsid w:val="6C1364EE"/>
    <w:rsid w:val="6C223623"/>
    <w:rsid w:val="6C2B3181"/>
    <w:rsid w:val="6C895159"/>
    <w:rsid w:val="6CD00E99"/>
    <w:rsid w:val="6CEF2A56"/>
    <w:rsid w:val="6D1D2712"/>
    <w:rsid w:val="6D1E0E11"/>
    <w:rsid w:val="6D205895"/>
    <w:rsid w:val="6D2C40DA"/>
    <w:rsid w:val="6D711158"/>
    <w:rsid w:val="6D717C1E"/>
    <w:rsid w:val="6D7C7BAA"/>
    <w:rsid w:val="6D8433BC"/>
    <w:rsid w:val="6D8455BA"/>
    <w:rsid w:val="6D920153"/>
    <w:rsid w:val="6DA16A1C"/>
    <w:rsid w:val="6DA72D47"/>
    <w:rsid w:val="6DAF1C81"/>
    <w:rsid w:val="6DAF4A1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E113A4"/>
    <w:rsid w:val="6EF967A0"/>
    <w:rsid w:val="6EFD396C"/>
    <w:rsid w:val="6F0674FF"/>
    <w:rsid w:val="6F2F0E79"/>
    <w:rsid w:val="6F3F3691"/>
    <w:rsid w:val="6F49144D"/>
    <w:rsid w:val="6F8A5194"/>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55816"/>
    <w:rsid w:val="712041AC"/>
    <w:rsid w:val="712B420C"/>
    <w:rsid w:val="713A694F"/>
    <w:rsid w:val="713C1E52"/>
    <w:rsid w:val="7140235F"/>
    <w:rsid w:val="7144725F"/>
    <w:rsid w:val="71633397"/>
    <w:rsid w:val="717133FA"/>
    <w:rsid w:val="717B0A3E"/>
    <w:rsid w:val="717D0177"/>
    <w:rsid w:val="71847F3E"/>
    <w:rsid w:val="718F13CF"/>
    <w:rsid w:val="71A053FA"/>
    <w:rsid w:val="71C139F6"/>
    <w:rsid w:val="71D12075"/>
    <w:rsid w:val="71DB0593"/>
    <w:rsid w:val="71F64B04"/>
    <w:rsid w:val="720A7028"/>
    <w:rsid w:val="721037CA"/>
    <w:rsid w:val="7216791F"/>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636FE"/>
    <w:rsid w:val="73610221"/>
    <w:rsid w:val="73616C5B"/>
    <w:rsid w:val="73923252"/>
    <w:rsid w:val="73A52ADB"/>
    <w:rsid w:val="73F04490"/>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3A73DD"/>
    <w:rsid w:val="77540EAB"/>
    <w:rsid w:val="775E4966"/>
    <w:rsid w:val="77720FB5"/>
    <w:rsid w:val="77760FFC"/>
    <w:rsid w:val="77CC63EB"/>
    <w:rsid w:val="77E34BBF"/>
    <w:rsid w:val="77EE514F"/>
    <w:rsid w:val="78342D62"/>
    <w:rsid w:val="786A2128"/>
    <w:rsid w:val="787378B8"/>
    <w:rsid w:val="787F5E0E"/>
    <w:rsid w:val="789A41C2"/>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D548EA"/>
    <w:rsid w:val="79DD070F"/>
    <w:rsid w:val="79F57AA2"/>
    <w:rsid w:val="7A024427"/>
    <w:rsid w:val="7A2902FC"/>
    <w:rsid w:val="7A543032"/>
    <w:rsid w:val="7A7747EC"/>
    <w:rsid w:val="7A883FEE"/>
    <w:rsid w:val="7AA51AE9"/>
    <w:rsid w:val="7AB93063"/>
    <w:rsid w:val="7ABF07F0"/>
    <w:rsid w:val="7ACD1F05"/>
    <w:rsid w:val="7ACF3A41"/>
    <w:rsid w:val="7ADC6EC3"/>
    <w:rsid w:val="7ADE198C"/>
    <w:rsid w:val="7B111CB9"/>
    <w:rsid w:val="7B3B0CF5"/>
    <w:rsid w:val="7B402043"/>
    <w:rsid w:val="7B587D8B"/>
    <w:rsid w:val="7B5F4AF6"/>
    <w:rsid w:val="7B6446E7"/>
    <w:rsid w:val="7B7421C6"/>
    <w:rsid w:val="7B897F9C"/>
    <w:rsid w:val="7B8B6C3F"/>
    <w:rsid w:val="7B974C50"/>
    <w:rsid w:val="7BBF0DE6"/>
    <w:rsid w:val="7BC94525"/>
    <w:rsid w:val="7BCA41A5"/>
    <w:rsid w:val="7BDE0036"/>
    <w:rsid w:val="7BE90B2B"/>
    <w:rsid w:val="7C0C42D3"/>
    <w:rsid w:val="7C2D09C7"/>
    <w:rsid w:val="7C420509"/>
    <w:rsid w:val="7C5F39D5"/>
    <w:rsid w:val="7C607F1C"/>
    <w:rsid w:val="7C853942"/>
    <w:rsid w:val="7CAA7097"/>
    <w:rsid w:val="7CBA3DB9"/>
    <w:rsid w:val="7CE615AE"/>
    <w:rsid w:val="7CEF733F"/>
    <w:rsid w:val="7CF96612"/>
    <w:rsid w:val="7D0261D9"/>
    <w:rsid w:val="7D296539"/>
    <w:rsid w:val="7D2A34EB"/>
    <w:rsid w:val="7D3014EE"/>
    <w:rsid w:val="7D423956"/>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EE7388"/>
    <w:rsid w:val="7EF02F3D"/>
    <w:rsid w:val="7F0B337E"/>
    <w:rsid w:val="7F122D08"/>
    <w:rsid w:val="7F28568F"/>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4"/>
    <w:qFormat/>
    <w:uiPriority w:val="9"/>
    <w:pPr>
      <w:keepNext/>
      <w:keepLines/>
      <w:spacing w:before="340" w:after="330" w:line="578" w:lineRule="auto"/>
      <w:outlineLvl w:val="0"/>
    </w:pPr>
    <w:rPr>
      <w:rFonts w:eastAsia="仿宋_GB2312"/>
      <w:b/>
      <w:bCs/>
      <w:kern w:val="44"/>
      <w:sz w:val="2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5">
    <w:name w:val="heading 3"/>
    <w:basedOn w:val="1"/>
    <w:next w:val="1"/>
    <w:link w:val="32"/>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widowControl w:val="0"/>
      <w:spacing w:after="0" w:line="288" w:lineRule="auto"/>
      <w:ind w:firstLine="680"/>
      <w:jc w:val="both"/>
    </w:pPr>
    <w:rPr>
      <w:rFonts w:ascii="楷体_GB2312" w:eastAsia="宋体" w:cs="Times New Roman"/>
      <w:color w:val="auto"/>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eastAsia="宋体" w:cs="宋体"/>
      <w:sz w:val="21"/>
      <w:szCs w:val="21"/>
      <w:lang w:val="zh-CN" w:eastAsia="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eastAsia="宋体" w:cs="Times New Roman"/>
      <w:szCs w:val="21"/>
      <w:lang w:val="en-US" w:eastAsia="zh-CN" w:bidi="ar-SA"/>
    </w:rPr>
  </w:style>
  <w:style w:type="paragraph" w:styleId="10">
    <w:name w:val="Date"/>
    <w:basedOn w:val="1"/>
    <w:next w:val="1"/>
    <w:qFormat/>
    <w:uiPriority w:val="0"/>
    <w:rPr>
      <w:rFonts w:ascii="Times New Roman" w:hAnsi="Times New Roman" w:cs="Times New Roman"/>
      <w:kern w:val="0"/>
      <w:sz w:val="20"/>
      <w:szCs w:val="20"/>
    </w:rPr>
  </w:style>
  <w:style w:type="paragraph" w:styleId="11">
    <w:name w:val="Balloon Text"/>
    <w:basedOn w:val="1"/>
    <w:link w:val="31"/>
    <w:unhideWhenUsed/>
    <w:qFormat/>
    <w:uiPriority w:val="99"/>
    <w:rPr>
      <w:sz w:val="18"/>
      <w:szCs w:val="18"/>
    </w:rPr>
  </w:style>
  <w:style w:type="paragraph" w:styleId="12">
    <w:name w:val="footer"/>
    <w:basedOn w:val="1"/>
    <w:link w:val="30"/>
    <w:unhideWhenUsed/>
    <w:qFormat/>
    <w:uiPriority w:val="99"/>
    <w:pPr>
      <w:tabs>
        <w:tab w:val="center" w:pos="4153"/>
        <w:tab w:val="right" w:pos="8306"/>
      </w:tabs>
      <w:snapToGrid w:val="0"/>
      <w:jc w:val="left"/>
    </w:pPr>
    <w:rPr>
      <w:sz w:val="18"/>
      <w:szCs w:val="18"/>
    </w:rPr>
  </w:style>
  <w:style w:type="paragraph" w:styleId="13">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2"/>
    <w:basedOn w:val="8"/>
    <w:next w:val="1"/>
    <w:qFormat/>
    <w:uiPriority w:val="0"/>
    <w:pPr>
      <w:spacing w:after="120"/>
      <w:ind w:left="420" w:leftChars="200" w:firstLine="420"/>
    </w:pPr>
    <w:rPr>
      <w:bCs/>
    </w:rPr>
  </w:style>
  <w:style w:type="table" w:styleId="20">
    <w:name w:val="Table Grid"/>
    <w:basedOn w:val="1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unhideWhenUsed/>
    <w:qFormat/>
    <w:uiPriority w:val="0"/>
  </w:style>
  <w:style w:type="character" w:styleId="23">
    <w:name w:val="Hyperlink"/>
    <w:unhideWhenUsed/>
    <w:qFormat/>
    <w:uiPriority w:val="99"/>
    <w:rPr>
      <w:color w:val="0000FF"/>
      <w:u w:val="single"/>
    </w:rPr>
  </w:style>
  <w:style w:type="paragraph" w:customStyle="1" w:styleId="24">
    <w:name w:val="汇编标题1"/>
    <w:basedOn w:val="3"/>
    <w:next w:val="25"/>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5">
    <w:name w:val="汇编正文"/>
    <w:basedOn w:val="1"/>
    <w:next w:val="26"/>
    <w:qFormat/>
    <w:uiPriority w:val="99"/>
    <w:pPr>
      <w:snapToGrid w:val="0"/>
      <w:spacing w:line="360" w:lineRule="atLeast"/>
    </w:pPr>
    <w:rPr>
      <w:color w:val="000000"/>
      <w:lang w:val="zh-CN"/>
    </w:rPr>
  </w:style>
  <w:style w:type="paragraph" w:customStyle="1" w:styleId="26">
    <w:name w:val="样式 标题 1 + 黑体 三号 非加粗 居中 段前: 6 磅 段后: 6 磅 行距: 固定值 20 磅"/>
    <w:basedOn w:val="3"/>
    <w:next w:val="17"/>
    <w:qFormat/>
    <w:uiPriority w:val="0"/>
    <w:pPr>
      <w:spacing w:before="120" w:after="120" w:line="400" w:lineRule="exact"/>
      <w:jc w:val="center"/>
    </w:pPr>
    <w:rPr>
      <w:rFonts w:ascii="黑体" w:hAnsi="黑体" w:eastAsia="黑体" w:cs="宋体"/>
      <w:b w:val="0"/>
      <w:sz w:val="32"/>
      <w:szCs w:val="20"/>
    </w:rPr>
  </w:style>
  <w:style w:type="paragraph" w:customStyle="1" w:styleId="27">
    <w:name w:val="列出段落1"/>
    <w:basedOn w:val="1"/>
    <w:qFormat/>
    <w:uiPriority w:val="34"/>
    <w:pPr>
      <w:ind w:firstLine="420" w:firstLineChars="200"/>
    </w:pPr>
  </w:style>
  <w:style w:type="paragraph" w:customStyle="1" w:styleId="28">
    <w:name w:val="TOC 标题1"/>
    <w:basedOn w:val="3"/>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29">
    <w:name w:val="页眉 Char"/>
    <w:link w:val="13"/>
    <w:semiHidden/>
    <w:qFormat/>
    <w:uiPriority w:val="99"/>
    <w:rPr>
      <w:sz w:val="18"/>
      <w:szCs w:val="18"/>
    </w:rPr>
  </w:style>
  <w:style w:type="character" w:customStyle="1" w:styleId="30">
    <w:name w:val="页脚 Char"/>
    <w:link w:val="12"/>
    <w:semiHidden/>
    <w:qFormat/>
    <w:uiPriority w:val="99"/>
    <w:rPr>
      <w:sz w:val="18"/>
      <w:szCs w:val="18"/>
    </w:rPr>
  </w:style>
  <w:style w:type="character" w:customStyle="1" w:styleId="31">
    <w:name w:val="批注框文本 Char"/>
    <w:link w:val="11"/>
    <w:semiHidden/>
    <w:qFormat/>
    <w:uiPriority w:val="99"/>
    <w:rPr>
      <w:sz w:val="18"/>
      <w:szCs w:val="18"/>
    </w:rPr>
  </w:style>
  <w:style w:type="character" w:customStyle="1" w:styleId="32">
    <w:name w:val="标题 3 Char"/>
    <w:link w:val="5"/>
    <w:qFormat/>
    <w:uiPriority w:val="9"/>
    <w:rPr>
      <w:rFonts w:ascii="仿宋" w:hAnsi="仿宋" w:eastAsia="仿宋_GB2312" w:cs="Times New Roman"/>
      <w:bCs/>
      <w:sz w:val="28"/>
      <w:szCs w:val="32"/>
    </w:rPr>
  </w:style>
  <w:style w:type="character" w:customStyle="1" w:styleId="33">
    <w:name w:val="标题 2 Char"/>
    <w:link w:val="4"/>
    <w:qFormat/>
    <w:uiPriority w:val="9"/>
    <w:rPr>
      <w:rFonts w:ascii="Cambria" w:hAnsi="Cambria" w:eastAsia="仿宋_GB2312"/>
      <w:b/>
      <w:bCs/>
      <w:sz w:val="30"/>
      <w:szCs w:val="32"/>
    </w:rPr>
  </w:style>
  <w:style w:type="character" w:customStyle="1" w:styleId="34">
    <w:name w:val="标题 1 Char"/>
    <w:link w:val="3"/>
    <w:qFormat/>
    <w:uiPriority w:val="9"/>
    <w:rPr>
      <w:rFonts w:eastAsia="仿宋_GB2312"/>
      <w:b/>
      <w:bCs/>
      <w:kern w:val="44"/>
      <w:sz w:val="24"/>
      <w:szCs w:val="44"/>
    </w:rPr>
  </w:style>
  <w:style w:type="paragraph" w:customStyle="1" w:styleId="35">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Table Text"/>
    <w:basedOn w:val="1"/>
    <w:semiHidden/>
    <w:qFormat/>
    <w:uiPriority w:val="0"/>
    <w:rPr>
      <w:rFonts w:ascii="宋体" w:hAnsi="宋体" w:eastAsia="宋体" w:cs="宋体"/>
      <w:sz w:val="20"/>
      <w:szCs w:val="20"/>
    </w:rPr>
  </w:style>
  <w:style w:type="paragraph" w:customStyle="1" w:styleId="38">
    <w:name w:val="1"/>
    <w:basedOn w:val="1"/>
    <w:qFormat/>
    <w:uiPriority w:val="0"/>
    <w:rPr>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11099</Words>
  <Characters>11809</Characters>
  <Lines>50</Lines>
  <Paragraphs>14</Paragraphs>
  <TotalTime>22</TotalTime>
  <ScaleCrop>false</ScaleCrop>
  <LinksUpToDate>false</LinksUpToDate>
  <CharactersWithSpaces>12788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空白</cp:lastModifiedBy>
  <cp:lastPrinted>2024-05-29T09:32:00Z</cp:lastPrinted>
  <dcterms:modified xsi:type="dcterms:W3CDTF">2024-05-29T09:59:32Z</dcterms:modified>
  <dc:title>中建七局华北公司</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9FD8777846E249DABA8B0D825EEE598B_13</vt:lpwstr>
  </property>
</Properties>
</file>