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bookmarkStart w:id="0" w:name="_Toc343700737"/>
      <w:bookmarkStart w:id="1" w:name="_Toc343692939"/>
      <w:r>
        <w:rPr>
          <w:rFonts w:hint="eastAsia"/>
        </w:rPr>
        <w:t xml:space="preserve">   </w:t>
      </w:r>
      <w:r>
        <w:rPr>
          <w:rFonts w:hint="eastAsia"/>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海南洋浦陆海国际贸易有限公司</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砂石公开采购                               </w:t>
      </w: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pPr>
        <w:spacing w:line="380" w:lineRule="atLeast"/>
        <w:ind w:left="-199" w:leftChars="-95"/>
        <w:jc w:val="center"/>
        <w:rPr>
          <w:rFonts w:hint="default"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比</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pPr>
        <w:pStyle w:val="4"/>
      </w:pPr>
    </w:p>
    <w:p>
      <w:pPr>
        <w:pStyle w:val="4"/>
      </w:pPr>
    </w:p>
    <w:p/>
    <w:p/>
    <w:p>
      <w:pPr>
        <w:pStyle w:val="26"/>
        <w:numPr>
          <w:ilvl w:val="0"/>
          <w:numId w:val="1"/>
        </w:numPr>
        <w:spacing w:line="360" w:lineRule="exact"/>
        <w:ind w:firstLineChars="0"/>
        <w:jc w:val="center"/>
        <w:rPr>
          <w:rFonts w:hint="eastAsia" w:ascii="楷体_GB2312" w:hAnsi="楷体_GB2312" w:eastAsia="楷体_GB2312" w:cs="楷体_GB2312"/>
          <w:sz w:val="24"/>
          <w:szCs w:val="24"/>
        </w:rPr>
      </w:pPr>
      <w:r>
        <w:rPr>
          <w:rFonts w:hint="eastAsia" w:ascii="楷体_GB2312" w:hAnsi="楷体_GB2312" w:eastAsia="楷体_GB2312" w:cs="楷体_GB2312"/>
          <w:b/>
          <w:bCs/>
          <w:sz w:val="24"/>
          <w:szCs w:val="24"/>
          <w:lang w:val="en-US" w:eastAsia="zh-CN"/>
        </w:rPr>
        <w:t>询价函</w:t>
      </w:r>
    </w:p>
    <w:p>
      <w:pPr>
        <w:adjustRightInd w:val="0"/>
        <w:snapToGrid w:val="0"/>
        <w:spacing w:line="360" w:lineRule="exact"/>
        <w:jc w:val="right"/>
        <w:rPr>
          <w:rFonts w:hint="default" w:ascii="楷体_GB2312" w:hAnsi="楷体_GB2312" w:eastAsia="楷体_GB2312" w:cs="楷体_GB2312"/>
          <w:sz w:val="24"/>
          <w:szCs w:val="24"/>
          <w:lang w:val="en-US"/>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p>
    <w:tbl>
      <w:tblPr>
        <w:tblStyle w:val="18"/>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613" w:type="dxa"/>
            <w:gridSpan w:val="3"/>
            <w:tcBorders>
              <w:top w:val="single" w:color="auto" w:sz="8" w:space="0"/>
            </w:tcBorders>
            <w:vAlign w:val="center"/>
          </w:tcPr>
          <w:p>
            <w:pPr>
              <w:spacing w:line="360" w:lineRule="atLeas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海南洋浦陆海国际贸易有限公司</w:t>
            </w:r>
            <w:r>
              <w:rPr>
                <w:rFonts w:hint="eastAsia" w:ascii="楷体_GB2312" w:hAnsi="楷体_GB2312" w:eastAsia="楷体_GB2312" w:cs="楷体_GB2312"/>
                <w:sz w:val="24"/>
                <w:szCs w:val="24"/>
                <w:u w:val="single"/>
                <w:lang w:val="en-US" w:eastAsia="zh-CN"/>
              </w:rPr>
              <w:t>砂石</w:t>
            </w:r>
            <w:r>
              <w:rPr>
                <w:rFonts w:hint="eastAsia" w:ascii="楷体_GB2312" w:hAnsi="楷体_GB2312" w:eastAsia="楷体_GB2312" w:cs="楷体_GB2312"/>
                <w:sz w:val="24"/>
                <w:szCs w:val="24"/>
              </w:rPr>
              <w:t>采购根据需要，拟按照</w:t>
            </w:r>
            <w:r>
              <w:rPr>
                <w:rFonts w:hint="eastAsia" w:ascii="楷体_GB2312" w:hAnsi="楷体_GB2312" w:eastAsia="楷体_GB2312" w:cs="楷体_GB2312"/>
                <w:sz w:val="24"/>
                <w:szCs w:val="24"/>
                <w:u w:val="single"/>
                <w:lang w:val="en-US" w:eastAsia="zh-CN"/>
              </w:rPr>
              <w:t>询比价</w:t>
            </w:r>
            <w:r>
              <w:rPr>
                <w:rFonts w:hint="eastAsia" w:ascii="楷体_GB2312" w:hAnsi="楷体_GB2312" w:eastAsia="楷体_GB2312" w:cs="楷体_GB2312"/>
                <w:sz w:val="24"/>
                <w:szCs w:val="24"/>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63" w:type="dxa"/>
            <w:vAlign w:val="center"/>
          </w:tcPr>
          <w:p>
            <w:pPr>
              <w:spacing w:line="360" w:lineRule="atLeast"/>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序号</w:t>
            </w:r>
          </w:p>
        </w:tc>
        <w:tc>
          <w:tcPr>
            <w:tcW w:w="2517" w:type="dxa"/>
            <w:vAlign w:val="center"/>
          </w:tcPr>
          <w:p>
            <w:pPr>
              <w:spacing w:line="360" w:lineRule="atLeast"/>
              <w:jc w:val="center"/>
              <w:rPr>
                <w:rFonts w:ascii="楷体_GB2312" w:hAnsi="楷体_GB2312" w:eastAsia="楷体_GB2312" w:cs="楷体_GB2312"/>
                <w:sz w:val="24"/>
                <w:szCs w:val="24"/>
              </w:rPr>
            </w:pPr>
            <w:r>
              <w:rPr>
                <w:rFonts w:hint="eastAsia" w:ascii="楷体_GB2312" w:hAnsi="楷体_GB2312" w:eastAsia="楷体_GB2312" w:cs="楷体_GB2312"/>
                <w:sz w:val="24"/>
                <w:szCs w:val="24"/>
              </w:rPr>
              <w:t>项目</w:t>
            </w:r>
          </w:p>
        </w:tc>
        <w:tc>
          <w:tcPr>
            <w:tcW w:w="5233" w:type="dxa"/>
            <w:vAlign w:val="center"/>
          </w:tcPr>
          <w:p>
            <w:pPr>
              <w:spacing w:line="360" w:lineRule="atLeast"/>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询比价单位</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询比价内容</w:t>
            </w:r>
          </w:p>
        </w:tc>
        <w:tc>
          <w:tcPr>
            <w:tcW w:w="523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pPr>
              <w:keepNext w:val="0"/>
              <w:keepLines w:val="0"/>
              <w:pageBreakBefore w:val="0"/>
              <w:widowControl w:val="0"/>
              <w:kinsoku/>
              <w:wordWrap w:val="0"/>
              <w:overflowPunct/>
              <w:topLinePunct w:val="0"/>
              <w:autoSpaceDE/>
              <w:autoSpaceDN/>
              <w:bidi w:val="0"/>
              <w:adjustRightInd/>
              <w:snapToGrid/>
              <w:spacing w:line="360" w:lineRule="atLeas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2024年6月21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pPr>
              <w:keepNext w:val="0"/>
              <w:keepLines w:val="0"/>
              <w:pageBreakBefore w:val="0"/>
              <w:widowControl w:val="0"/>
              <w:kinsoku/>
              <w:wordWrap w:val="0"/>
              <w:overflowPunct/>
              <w:topLinePunct w:val="0"/>
              <w:autoSpaceDE/>
              <w:autoSpaceDN/>
              <w:bidi w:val="0"/>
              <w:adjustRightInd/>
              <w:snapToGrid/>
              <w:spacing w:line="360" w:lineRule="atLeast"/>
              <w:jc w:val="center"/>
              <w:textAlignment w:val="auto"/>
              <w:rPr>
                <w:rFonts w:hint="eastAsia" w:ascii="楷体" w:hAnsi="楷体" w:eastAsia="楷体" w:cs="楷体"/>
                <w:sz w:val="24"/>
                <w:szCs w:val="24"/>
                <w:lang w:val="en-US"/>
              </w:rPr>
            </w:pPr>
            <w:r>
              <w:rPr>
                <w:rFonts w:hint="eastAsia" w:ascii="楷体" w:hAnsi="楷体" w:eastAsia="楷体" w:cs="楷体"/>
                <w:sz w:val="24"/>
                <w:szCs w:val="24"/>
                <w:highlight w:val="none"/>
                <w:lang w:val="en-US" w:eastAsia="zh-CN"/>
              </w:rPr>
              <w:t>截至2024年6月25日上午12：00电子版文件（PDF格式）发送至指定电子邮箱luhaimygs@hnyplh.com。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highlight w:val="none"/>
                <w:lang w:val="en-US" w:eastAsia="zh-CN"/>
              </w:rPr>
              <w:t>肖工0898-28810376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评分办法</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最低评标价法，询价清单六项分别以最低报价单位为第一成交候选人。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7</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采购有效期</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询比价截止日起60天。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6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采购控制价</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其中机制砂单价控制价为140元/m³，碎石(包含级配碎石与未筛分碎石)单价控制价为160元/m³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bCs/>
                <w:sz w:val="24"/>
                <w:szCs w:val="24"/>
                <w:lang w:val="en-US" w:eastAsia="zh-CN"/>
              </w:rPr>
              <w:t>项目指定地点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6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11</w:t>
            </w:r>
          </w:p>
        </w:tc>
        <w:tc>
          <w:tcPr>
            <w:tcW w:w="2517"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其他要求</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要求厂家直供，同时询价人对成交候选人进行现场考察，并有权对成交候选人进行综合评判是否具备供货和质量保障能力。若不满足，则取消成交候选人资格。</w:t>
            </w:r>
          </w:p>
        </w:tc>
      </w:tr>
      <w:bookmarkEnd w:id="0"/>
      <w:bookmarkEnd w:id="1"/>
    </w:tbl>
    <w:p>
      <w:pPr>
        <w:pStyle w:val="26"/>
        <w:spacing w:line="360" w:lineRule="auto"/>
        <w:ind w:firstLine="0" w:firstLineChars="0"/>
        <w:jc w:val="both"/>
        <w:rPr>
          <w:rFonts w:hint="eastAsia" w:ascii="楷体_GB2312" w:hAnsi="楷体_GB2312" w:eastAsia="楷体_GB2312" w:cs="楷体_GB2312"/>
          <w:b/>
          <w:bCs/>
          <w:kern w:val="44"/>
          <w:sz w:val="24"/>
          <w:szCs w:val="24"/>
        </w:rPr>
      </w:pPr>
    </w:p>
    <w:p>
      <w:pPr>
        <w:pStyle w:val="26"/>
        <w:spacing w:line="360" w:lineRule="auto"/>
        <w:ind w:firstLine="0" w:firstLineChars="0"/>
        <w:jc w:val="center"/>
        <w:rPr>
          <w:rFonts w:hint="eastAsia" w:ascii="楷体_GB2312" w:hAnsi="楷体_GB2312" w:eastAsia="楷体_GB2312" w:cs="楷体_GB2312"/>
          <w:b/>
          <w:bCs/>
          <w:kern w:val="44"/>
          <w:sz w:val="24"/>
          <w:szCs w:val="24"/>
        </w:rPr>
      </w:pPr>
    </w:p>
    <w:p>
      <w:pPr>
        <w:pStyle w:val="26"/>
        <w:spacing w:line="360" w:lineRule="auto"/>
        <w:ind w:firstLine="0" w:firstLineChars="0"/>
        <w:jc w:val="center"/>
        <w:rPr>
          <w:rFonts w:hint="eastAsia" w:ascii="楷体_GB2312" w:hAnsi="楷体_GB2312" w:eastAsia="楷体_GB2312" w:cs="楷体_GB2312"/>
          <w:b/>
          <w:bCs/>
          <w:kern w:val="44"/>
          <w:sz w:val="24"/>
          <w:szCs w:val="24"/>
        </w:rPr>
      </w:pP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2" w:name="_Toc343700738"/>
      <w:bookmarkStart w:id="3" w:name="_Toc343692940"/>
      <w:r>
        <w:rPr>
          <w:rFonts w:hint="eastAsia" w:ascii="楷体" w:hAnsi="楷体" w:eastAsia="楷体" w:cs="楷体"/>
          <w:sz w:val="24"/>
          <w:szCs w:val="24"/>
        </w:rPr>
        <w:t>一、总则</w:t>
      </w:r>
      <w:bookmarkEnd w:id="2"/>
      <w:bookmarkEnd w:id="3"/>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2、具备国家有关部门、行业或公司要求必须取得的质量、计量、安全、环保认证及其他经营许可；在有关部门和行业的监督检查中没有不良记录；与公司没有不良合作记录。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rPr>
        <w:t>3、具有一定的经营规模和服务能力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4、具有良好的商业信誉</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(三)合格的</w:t>
      </w:r>
      <w:r>
        <w:rPr>
          <w:rFonts w:hint="eastAsia" w:ascii="楷体" w:hAnsi="楷体" w:eastAsia="楷体" w:cs="楷体"/>
          <w:bCs/>
          <w:sz w:val="24"/>
          <w:szCs w:val="24"/>
          <w:u w:val="single"/>
          <w:lang w:val="en-US" w:eastAsia="zh-CN"/>
        </w:rPr>
        <w:t>砂石</w:t>
      </w:r>
      <w:r>
        <w:rPr>
          <w:rFonts w:hint="eastAsia" w:ascii="楷体" w:hAnsi="楷体" w:eastAsia="楷体" w:cs="楷体"/>
          <w:bCs/>
          <w:sz w:val="24"/>
          <w:szCs w:val="24"/>
        </w:rPr>
        <w:t>采购范围和交易方式</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bCs/>
          <w:sz w:val="24"/>
          <w:szCs w:val="24"/>
          <w:u w:val="single"/>
          <w:lang w:val="en-US" w:eastAsia="zh-CN"/>
        </w:rPr>
        <w:t>砂石</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我司有权选择与</w:t>
      </w:r>
      <w:r>
        <w:rPr>
          <w:rFonts w:hint="eastAsia" w:ascii="楷体" w:hAnsi="楷体" w:eastAsia="楷体" w:cs="楷体"/>
          <w:bCs/>
          <w:sz w:val="24"/>
          <w:szCs w:val="24"/>
        </w:rPr>
        <w:t>备选单位签订合同。</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4" w:name="_Toc343692941"/>
      <w:bookmarkStart w:id="5" w:name="_Toc343700739"/>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 xml:space="preserve">人须知    </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合同（格式）</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3、报价书</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bCs/>
          <w:sz w:val="24"/>
          <w:szCs w:val="24"/>
          <w:u w:val="single"/>
          <w:lang w:val="en-US" w:eastAsia="zh-CN"/>
        </w:rPr>
        <w:t>砂石</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000000"/>
          <w:spacing w:val="0"/>
          <w:sz w:val="24"/>
          <w:szCs w:val="24"/>
          <w:lang w:eastAsia="zh-CN"/>
        </w:rPr>
      </w:pPr>
      <w:r>
        <w:rPr>
          <w:rFonts w:hint="eastAsia" w:ascii="楷体" w:hAnsi="楷体" w:eastAsia="楷体" w:cs="楷体"/>
          <w:bCs/>
          <w:sz w:val="24"/>
          <w:szCs w:val="24"/>
        </w:rPr>
        <w:t>2、承包方式：</w:t>
      </w:r>
      <w:r>
        <w:rPr>
          <w:rFonts w:hint="eastAsia" w:ascii="楷体" w:hAnsi="楷体" w:eastAsia="楷体" w:cs="楷体"/>
          <w:bCs/>
          <w:sz w:val="24"/>
          <w:szCs w:val="24"/>
          <w:u w:val="single"/>
          <w:lang w:val="en-US" w:eastAsia="zh-CN"/>
        </w:rPr>
        <w:t>砂石</w:t>
      </w:r>
      <w:r>
        <w:rPr>
          <w:rFonts w:hint="eastAsia" w:ascii="楷体" w:hAnsi="楷体" w:eastAsia="楷体" w:cs="楷体"/>
          <w:i w:val="0"/>
          <w:caps w:val="0"/>
          <w:color w:val="000000"/>
          <w:spacing w:val="0"/>
          <w:sz w:val="24"/>
          <w:szCs w:val="24"/>
        </w:rPr>
        <w:t>的供应（包括供应商出售该物资应缴纳税金及一切税费、装</w:t>
      </w:r>
      <w:r>
        <w:rPr>
          <w:rFonts w:hint="eastAsia" w:ascii="楷体" w:hAnsi="楷体" w:eastAsia="楷体" w:cs="楷体"/>
          <w:i w:val="0"/>
          <w:caps w:val="0"/>
          <w:color w:val="000000"/>
          <w:spacing w:val="0"/>
          <w:sz w:val="24"/>
          <w:szCs w:val="24"/>
          <w:lang w:val="en-US" w:eastAsia="zh-CN"/>
        </w:rPr>
        <w:t>卸</w:t>
      </w:r>
      <w:r>
        <w:rPr>
          <w:rFonts w:hint="eastAsia" w:ascii="楷体" w:hAnsi="楷体" w:eastAsia="楷体" w:cs="楷体"/>
          <w:i w:val="0"/>
          <w:caps w:val="0"/>
          <w:color w:val="000000"/>
          <w:spacing w:val="0"/>
          <w:sz w:val="24"/>
          <w:szCs w:val="24"/>
        </w:rPr>
        <w:t>车费、包装费、保险费、运输费，以及其他运抵至甲方指定交货地点的一切费用；包括售后服务以及市场价格涨幅等的各类风险费用；以及其他所有相关服务费用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r>
        <w:rPr>
          <w:rFonts w:hint="eastAsia" w:ascii="楷体" w:hAnsi="楷体" w:eastAsia="楷体" w:cs="楷体"/>
          <w:i w:val="0"/>
          <w:caps w:val="0"/>
          <w:color w:val="000000"/>
          <w:spacing w:val="0"/>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bookmarkStart w:id="6" w:name="_Toc343700740"/>
      <w:bookmarkStart w:id="7" w:name="_Toc343692942"/>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2、进场的物资必须符合国家相关标准。如发生质量问题，乙方包退、包换。确保进场材料质量合格率100%，并须在材料进场的同时提供材料的质量检验部门</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第三方检验机构</w:t>
      </w:r>
      <w:r>
        <w:rPr>
          <w:rFonts w:hint="eastAsia" w:ascii="楷体" w:hAnsi="楷体" w:eastAsia="楷体" w:cs="楷体"/>
          <w:bCs/>
          <w:sz w:val="24"/>
          <w:szCs w:val="24"/>
          <w:lang w:eastAsia="zh-CN"/>
        </w:rPr>
        <w:t>）</w:t>
      </w:r>
      <w:r>
        <w:rPr>
          <w:rFonts w:hint="eastAsia" w:ascii="楷体" w:hAnsi="楷体" w:eastAsia="楷体" w:cs="楷体"/>
          <w:bCs/>
          <w:sz w:val="24"/>
          <w:szCs w:val="24"/>
        </w:rPr>
        <w:t>的产品材质证明书</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检验报告</w:t>
      </w:r>
      <w:r>
        <w:rPr>
          <w:rFonts w:hint="eastAsia" w:ascii="楷体" w:hAnsi="楷体" w:eastAsia="楷体" w:cs="楷体"/>
          <w:bCs/>
          <w:sz w:val="24"/>
          <w:szCs w:val="24"/>
        </w:rPr>
        <w:t>（甲方有权对所采购的材料进行进一步检测），且材质证明书内容要和现场进料单及标牌所标明内容相对应。</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买方</w:t>
      </w:r>
      <w:r>
        <w:rPr>
          <w:rFonts w:hint="eastAsia" w:ascii="楷体" w:hAnsi="楷体" w:eastAsia="楷体" w:cs="楷体"/>
          <w:bCs/>
          <w:sz w:val="24"/>
          <w:szCs w:val="24"/>
        </w:rPr>
        <w:t>有权利对进场的物资进行各种形式的检验，供应商必须充分配合。所供物资均应符合现行国家标准，具有质量检验</w:t>
      </w:r>
      <w:r>
        <w:rPr>
          <w:rFonts w:hint="eastAsia" w:ascii="楷体" w:hAnsi="楷体" w:eastAsia="楷体" w:cs="楷体"/>
          <w:bCs/>
          <w:sz w:val="24"/>
          <w:szCs w:val="24"/>
          <w:lang w:val="en-US" w:eastAsia="zh-CN"/>
        </w:rPr>
        <w:t>机构</w:t>
      </w:r>
      <w:r>
        <w:rPr>
          <w:rFonts w:hint="eastAsia" w:ascii="楷体" w:hAnsi="楷体" w:eastAsia="楷体" w:cs="楷体"/>
          <w:bCs/>
          <w:sz w:val="24"/>
          <w:szCs w:val="24"/>
        </w:rPr>
        <w:t>的检测报告及产品性能说明书，并应表明生产厂家、规格和生产日期，物资进场时将以上合格资料一同交由承包方。</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送货地点：儋州市项目指定地点</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w:t>
      </w:r>
      <w:r>
        <w:rPr>
          <w:rFonts w:hint="eastAsia" w:ascii="楷体" w:hAnsi="楷体" w:eastAsia="楷体" w:cs="楷体"/>
          <w:bCs/>
          <w:sz w:val="24"/>
          <w:szCs w:val="24"/>
          <w:lang w:eastAsia="zh-CN"/>
        </w:rPr>
        <w:t xml:space="preserve"> </w:t>
      </w:r>
      <w:r>
        <w:rPr>
          <w:rFonts w:hint="eastAsia" w:ascii="楷体" w:hAnsi="楷体" w:eastAsia="楷体" w:cs="楷体"/>
          <w:bCs/>
          <w:sz w:val="24"/>
          <w:szCs w:val="24"/>
        </w:rPr>
        <w:t>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按照第三章报价书（格式）要求提供，内容包括</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1</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报价表</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2</w:t>
      </w:r>
      <w:r>
        <w:rPr>
          <w:rFonts w:hint="eastAsia" w:ascii="楷体" w:hAnsi="楷体" w:eastAsia="楷体" w:cs="楷体"/>
          <w:b/>
          <w:bCs w:val="0"/>
          <w:sz w:val="24"/>
          <w:szCs w:val="24"/>
        </w:rPr>
        <w:t>、</w:t>
      </w:r>
      <w:r>
        <w:rPr>
          <w:rFonts w:hint="eastAsia" w:ascii="楷体" w:hAnsi="楷体" w:eastAsia="楷体" w:cs="楷体"/>
          <w:b/>
          <w:bCs w:val="0"/>
          <w:sz w:val="24"/>
          <w:szCs w:val="24"/>
          <w:lang w:val="en-US" w:eastAsia="zh-CN"/>
        </w:rPr>
        <w:t>报价</w:t>
      </w:r>
      <w:r>
        <w:rPr>
          <w:rFonts w:hint="eastAsia" w:ascii="楷体" w:hAnsi="楷体" w:eastAsia="楷体" w:cs="楷体"/>
          <w:b/>
          <w:bCs w:val="0"/>
          <w:sz w:val="24"/>
          <w:szCs w:val="24"/>
        </w:rPr>
        <w:t>承诺函</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3</w:t>
      </w:r>
      <w:r>
        <w:rPr>
          <w:rFonts w:hint="eastAsia" w:ascii="楷体" w:hAnsi="楷体" w:eastAsia="楷体" w:cs="楷体"/>
          <w:b/>
          <w:bCs w:val="0"/>
          <w:sz w:val="24"/>
          <w:szCs w:val="24"/>
        </w:rPr>
        <w:t>、法定代表人授权委托书</w:t>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sz w:val="24"/>
          <w:szCs w:val="24"/>
          <w:lang w:val="en-US" w:eastAsia="zh-CN"/>
        </w:rPr>
      </w:pPr>
      <w:r>
        <w:rPr>
          <w:rFonts w:hint="eastAsia" w:ascii="楷体" w:hAnsi="楷体" w:eastAsia="楷体" w:cs="楷体"/>
          <w:b/>
          <w:bCs w:val="0"/>
          <w:sz w:val="24"/>
          <w:szCs w:val="24"/>
          <w:lang w:val="en-US" w:eastAsia="zh-CN"/>
        </w:rPr>
        <w:t>4、无重大违法记录声明函</w:t>
      </w:r>
      <w:r>
        <w:rPr>
          <w:rFonts w:hint="eastAsia" w:ascii="楷体" w:hAnsi="楷体" w:eastAsia="楷体" w:cs="楷体"/>
          <w:b/>
          <w:bCs w:val="0"/>
          <w:sz w:val="24"/>
          <w:szCs w:val="24"/>
          <w:lang w:val="en-US" w:eastAsia="zh-CN"/>
        </w:rPr>
        <w:br w:type="textWrapping"/>
      </w:r>
      <w:r>
        <w:rPr>
          <w:rFonts w:hint="eastAsia" w:ascii="楷体" w:hAnsi="楷体" w:eastAsia="楷体" w:cs="楷体"/>
          <w:b/>
          <w:bCs w:val="0"/>
          <w:sz w:val="24"/>
          <w:szCs w:val="24"/>
          <w:lang w:val="en-US" w:eastAsia="zh-CN"/>
        </w:rPr>
        <w:t>5、需要提供的其他文件（</w:t>
      </w:r>
      <w:r>
        <w:rPr>
          <w:rFonts w:hint="eastAsia" w:ascii="仿宋" w:hAnsi="仿宋" w:eastAsia="仿宋" w:cs="仿宋"/>
          <w:b/>
          <w:bCs/>
          <w:sz w:val="24"/>
          <w:highlight w:val="none"/>
        </w:rPr>
        <w:t>具有检测资质的检测机构出具的</w:t>
      </w:r>
      <w:r>
        <w:rPr>
          <w:rFonts w:hint="eastAsia" w:ascii="仿宋" w:hAnsi="仿宋" w:eastAsia="仿宋" w:cs="仿宋"/>
          <w:b/>
          <w:bCs/>
          <w:sz w:val="24"/>
          <w:highlight w:val="none"/>
          <w:lang w:val="en-US" w:eastAsia="zh-CN"/>
        </w:rPr>
        <w:t>合格的</w:t>
      </w:r>
      <w:r>
        <w:rPr>
          <w:rFonts w:hint="eastAsia" w:ascii="仿宋" w:hAnsi="仿宋" w:eastAsia="仿宋" w:cs="仿宋"/>
          <w:b/>
          <w:bCs/>
          <w:sz w:val="24"/>
          <w:highlight w:val="none"/>
        </w:rPr>
        <w:t>检验报告</w:t>
      </w:r>
      <w:r>
        <w:rPr>
          <w:rFonts w:hint="eastAsia" w:ascii="仿宋" w:hAnsi="仿宋" w:eastAsia="仿宋" w:cs="仿宋"/>
          <w:b/>
          <w:bCs/>
          <w:sz w:val="24"/>
          <w:highlight w:val="none"/>
          <w:lang w:val="en-US" w:eastAsia="zh-CN"/>
        </w:rPr>
        <w:t>等</w:t>
      </w:r>
      <w:r>
        <w:rPr>
          <w:rFonts w:hint="eastAsia" w:ascii="楷体" w:hAnsi="楷体" w:eastAsia="楷体" w:cs="楷体"/>
          <w:b/>
          <w:bCs w:val="0"/>
          <w:sz w:val="24"/>
          <w:szCs w:val="24"/>
          <w:lang w:val="en-US"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按照报价书格式要求签字、盖章。报价</w:t>
      </w:r>
      <w:r>
        <w:rPr>
          <w:rFonts w:hint="eastAsia" w:ascii="楷体" w:hAnsi="楷体" w:eastAsia="楷体" w:cs="楷体"/>
          <w:bCs/>
          <w:sz w:val="24"/>
          <w:szCs w:val="24"/>
        </w:rPr>
        <w:t>书中的企业的名称应准确无误。</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（四）材料其它要求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2、所有材料均须由持有法人代表授权书的被授权人递交。</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投标时无需厂家提供授权书，中标后需提供厂家授权书</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4、提供虚假资质证明文件的，一经发现立即取消其资格，并交由相关部门依法处理。</w:t>
      </w:r>
    </w:p>
    <w:p>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报价单位</w:t>
      </w:r>
      <w:r>
        <w:rPr>
          <w:rFonts w:hint="eastAsia" w:ascii="楷体" w:hAnsi="楷体" w:eastAsia="楷体" w:cs="楷体"/>
          <w:bCs/>
          <w:sz w:val="24"/>
          <w:szCs w:val="24"/>
        </w:rPr>
        <w:t>可在递交的材料中，依据文件的格式要求填报纸质版《报价书》。</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
          <w:bCs w:val="0"/>
          <w:sz w:val="24"/>
          <w:szCs w:val="24"/>
          <w:lang w:val="en-US" w:eastAsia="zh-CN"/>
        </w:rPr>
        <w:t>报价单位</w:t>
      </w:r>
      <w:r>
        <w:rPr>
          <w:rFonts w:hint="eastAsia" w:ascii="楷体" w:hAnsi="楷体" w:eastAsia="楷体" w:cs="楷体"/>
          <w:b/>
          <w:bCs w:val="0"/>
          <w:sz w:val="24"/>
          <w:szCs w:val="24"/>
        </w:rPr>
        <w:t>的报价应为以“</w:t>
      </w:r>
      <w:r>
        <w:rPr>
          <w:rFonts w:hint="eastAsia" w:ascii="楷体" w:hAnsi="楷体" w:eastAsia="楷体" w:cs="楷体"/>
          <w:b/>
          <w:bCs w:val="0"/>
          <w:sz w:val="24"/>
          <w:szCs w:val="24"/>
          <w:lang w:val="en-US" w:eastAsia="zh-CN"/>
        </w:rPr>
        <w:t>立方</w:t>
      </w:r>
      <w:r>
        <w:rPr>
          <w:rFonts w:hint="eastAsia" w:ascii="楷体" w:hAnsi="楷体" w:eastAsia="楷体" w:cs="楷体"/>
          <w:b/>
          <w:bCs w:val="0"/>
          <w:sz w:val="24"/>
          <w:szCs w:val="24"/>
        </w:rPr>
        <w:t>”为单位的单价。</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（三）报价使用货币为人民币，单位为“元/</w:t>
      </w:r>
      <w:r>
        <w:rPr>
          <w:rFonts w:hint="eastAsia" w:ascii="楷体" w:hAnsi="楷体" w:eastAsia="楷体" w:cs="楷体"/>
          <w:bCs/>
          <w:sz w:val="24"/>
          <w:szCs w:val="24"/>
          <w:lang w:val="en-US" w:eastAsia="zh-CN"/>
        </w:rPr>
        <w:t>立方</w:t>
      </w:r>
      <w:r>
        <w:rPr>
          <w:rFonts w:hint="eastAsia" w:ascii="楷体" w:hAnsi="楷体" w:eastAsia="楷体" w:cs="楷体"/>
          <w:bCs/>
          <w:sz w:val="24"/>
          <w:szCs w:val="24"/>
        </w:rPr>
        <w:t>”，报价保留到小数点后两位。</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Cs/>
          <w:sz w:val="24"/>
          <w:szCs w:val="24"/>
        </w:rPr>
        <w:t>（四）报价是指供货商供应的落地价</w:t>
      </w:r>
      <w:r>
        <w:rPr>
          <w:rFonts w:hint="eastAsia" w:ascii="楷体" w:hAnsi="楷体" w:eastAsia="楷体" w:cs="楷体"/>
          <w:sz w:val="24"/>
          <w:szCs w:val="24"/>
        </w:rPr>
        <w:t>。</w:t>
      </w:r>
      <w:bookmarkStart w:id="10" w:name="_Toc343692950"/>
      <w:bookmarkStart w:id="11" w:name="_Toc343700748"/>
      <w:r>
        <w:rPr>
          <w:rFonts w:hint="eastAsia" w:ascii="楷体" w:hAnsi="楷体" w:eastAsia="楷体" w:cs="楷体"/>
          <w:sz w:val="24"/>
          <w:szCs w:val="24"/>
        </w:rPr>
        <w:br w:type="textWrapping"/>
      </w:r>
    </w:p>
    <w:bookmarkEnd w:id="10"/>
    <w:bookmarkEnd w:id="11"/>
    <w:p>
      <w:pPr>
        <w:jc w:val="both"/>
        <w:rPr>
          <w:rFonts w:hint="eastAsia" w:ascii="宋体" w:hAnsi="宋体" w:eastAsia="宋体" w:cs="宋体"/>
          <w:color w:val="auto"/>
          <w:sz w:val="44"/>
          <w:highlight w:val="none"/>
        </w:rPr>
      </w:pPr>
    </w:p>
    <w:p>
      <w:pPr>
        <w:numPr>
          <w:ilvl w:val="0"/>
          <w:numId w:val="1"/>
        </w:numPr>
        <w:ind w:left="765" w:leftChars="0" w:hanging="765" w:firstLineChars="0"/>
        <w:jc w:val="center"/>
        <w:rPr>
          <w:rFonts w:hint="eastAsia"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合同</w:t>
      </w:r>
    </w:p>
    <w:p>
      <w:pPr>
        <w:jc w:val="center"/>
        <w:rPr>
          <w:rFonts w:hint="eastAsia" w:ascii="宋体" w:hAnsi="宋体" w:cs="宋体"/>
          <w:b/>
          <w:color w:val="000000"/>
          <w:sz w:val="44"/>
          <w:szCs w:val="44"/>
          <w:lang w:val="en-US" w:eastAsia="zh-CN"/>
        </w:rPr>
      </w:pPr>
    </w:p>
    <w:p>
      <w:pPr>
        <w:jc w:val="center"/>
        <w:rPr>
          <w:rFonts w:hint="eastAsia" w:ascii="仿宋" w:hAnsi="仿宋" w:eastAsia="仿宋" w:cs="仿宋"/>
          <w:b/>
          <w:color w:val="000000"/>
          <w:sz w:val="44"/>
          <w:szCs w:val="44"/>
          <w:lang w:val="en-US" w:eastAsia="zh-CN"/>
        </w:rPr>
      </w:pPr>
      <w:r>
        <w:rPr>
          <w:rFonts w:hint="eastAsia" w:ascii="仿宋" w:hAnsi="仿宋" w:eastAsia="仿宋" w:cs="仿宋"/>
          <w:b/>
          <w:color w:val="000000"/>
          <w:sz w:val="44"/>
          <w:szCs w:val="44"/>
          <w:lang w:val="en-US" w:eastAsia="zh-CN"/>
        </w:rPr>
        <w:t>海南洋浦陆海国际贸易有限公司砂石采购协议</w:t>
      </w:r>
    </w:p>
    <w:p>
      <w:pPr>
        <w:jc w:val="center"/>
        <w:rPr>
          <w:rFonts w:hint="eastAsia" w:ascii="仿宋" w:hAnsi="仿宋" w:eastAsia="仿宋" w:cs="仿宋"/>
          <w:b/>
          <w:color w:val="000000"/>
          <w:sz w:val="44"/>
          <w:szCs w:val="44"/>
          <w:lang w:val="en-US" w:eastAsia="zh-CN"/>
        </w:rPr>
      </w:pPr>
    </w:p>
    <w:p>
      <w:pPr>
        <w:jc w:val="center"/>
        <w:rPr>
          <w:rFonts w:hint="eastAsia" w:ascii="仿宋" w:hAnsi="仿宋" w:eastAsia="仿宋" w:cs="仿宋"/>
          <w:b/>
          <w:color w:val="000000"/>
          <w:sz w:val="44"/>
          <w:szCs w:val="44"/>
          <w:lang w:val="en-US" w:eastAsia="zh-CN"/>
        </w:rPr>
      </w:pPr>
    </w:p>
    <w:p>
      <w:pPr>
        <w:jc w:val="center"/>
        <w:rPr>
          <w:rFonts w:hint="eastAsia" w:ascii="仿宋" w:hAnsi="仿宋" w:eastAsia="仿宋" w:cs="仿宋"/>
          <w:b/>
          <w:color w:val="000000"/>
          <w:sz w:val="28"/>
          <w:szCs w:val="28"/>
          <w:lang w:val="en-US" w:eastAsia="zh-CN"/>
        </w:rPr>
      </w:pPr>
    </w:p>
    <w:p>
      <w:pPr>
        <w:jc w:val="center"/>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合同编号：</w:t>
      </w:r>
    </w:p>
    <w:p>
      <w:pPr>
        <w:jc w:val="center"/>
        <w:rPr>
          <w:rFonts w:hint="eastAsia" w:ascii="仿宋" w:hAnsi="仿宋" w:eastAsia="仿宋" w:cs="仿宋"/>
          <w:color w:val="auto"/>
          <w:sz w:val="44"/>
          <w:highlight w:val="none"/>
          <w:lang w:val="en-US" w:eastAsia="zh-CN"/>
        </w:rPr>
      </w:pPr>
    </w:p>
    <w:p>
      <w:pPr>
        <w:jc w:val="center"/>
        <w:rPr>
          <w:rFonts w:hint="eastAsia" w:ascii="仿宋" w:hAnsi="仿宋" w:eastAsia="仿宋" w:cs="仿宋"/>
          <w:color w:val="auto"/>
          <w:sz w:val="44"/>
          <w:highlight w:val="none"/>
          <w:lang w:val="en-US" w:eastAsia="zh-CN"/>
        </w:rPr>
      </w:pPr>
    </w:p>
    <w:p>
      <w:pPr>
        <w:jc w:val="center"/>
        <w:rPr>
          <w:rFonts w:hint="eastAsia" w:ascii="仿宋" w:hAnsi="仿宋" w:eastAsia="仿宋" w:cs="仿宋"/>
          <w:color w:val="auto"/>
          <w:sz w:val="44"/>
          <w:highlight w:val="none"/>
          <w:lang w:val="en-US" w:eastAsia="zh-CN"/>
        </w:rPr>
      </w:pPr>
    </w:p>
    <w:p>
      <w:pPr>
        <w:jc w:val="center"/>
        <w:rPr>
          <w:rFonts w:hint="eastAsia" w:ascii="仿宋" w:hAnsi="仿宋" w:eastAsia="仿宋" w:cs="仿宋"/>
          <w:color w:val="auto"/>
          <w:sz w:val="44"/>
          <w:highlight w:val="none"/>
          <w:lang w:val="en-US" w:eastAsia="zh-CN"/>
        </w:rPr>
      </w:pPr>
    </w:p>
    <w:p>
      <w:pPr>
        <w:tabs>
          <w:tab w:val="left" w:pos="992"/>
        </w:tabs>
        <w:ind w:firstLine="600" w:firstLineChars="200"/>
        <w:jc w:val="left"/>
        <w:rPr>
          <w:rFonts w:hint="eastAsia" w:ascii="仿宋" w:hAnsi="仿宋" w:eastAsia="仿宋" w:cs="仿宋"/>
          <w:color w:val="auto"/>
          <w:sz w:val="30"/>
          <w:highlight w:val="none"/>
        </w:rPr>
      </w:pPr>
      <w:bookmarkStart w:id="12" w:name="_Toc306782765"/>
      <w:r>
        <w:rPr>
          <w:rFonts w:hint="eastAsia" w:ascii="仿宋" w:hAnsi="仿宋" w:eastAsia="仿宋" w:cs="仿宋"/>
          <w:color w:val="auto"/>
          <w:sz w:val="30"/>
          <w:highlight w:val="none"/>
        </w:rPr>
        <w:t>甲方（采购方）：</w:t>
      </w:r>
      <w:r>
        <w:rPr>
          <w:rFonts w:hint="eastAsia" w:ascii="仿宋" w:hAnsi="仿宋" w:eastAsia="仿宋" w:cs="仿宋"/>
          <w:color w:val="auto"/>
          <w:sz w:val="30"/>
          <w:highlight w:val="none"/>
          <w:u w:val="single"/>
        </w:rPr>
        <w:t>海南洋浦陆海国际贸易有限公司</w:t>
      </w:r>
    </w:p>
    <w:p>
      <w:pPr>
        <w:tabs>
          <w:tab w:val="left" w:pos="992"/>
        </w:tabs>
        <w:ind w:firstLine="600" w:firstLineChars="200"/>
        <w:jc w:val="left"/>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乙方（供应商）：</w:t>
      </w:r>
      <w:r>
        <w:rPr>
          <w:rFonts w:hint="eastAsia" w:ascii="仿宋" w:hAnsi="仿宋" w:eastAsia="仿宋" w:cs="仿宋"/>
          <w:color w:val="auto"/>
          <w:sz w:val="30"/>
          <w:highlight w:val="none"/>
          <w:u w:val="single"/>
        </w:rPr>
        <w:t xml:space="preserve">                            </w:t>
      </w:r>
    </w:p>
    <w:p>
      <w:pPr>
        <w:tabs>
          <w:tab w:val="left" w:pos="992"/>
        </w:tabs>
        <w:ind w:left="2096" w:leftChars="284" w:hanging="1500" w:hangingChars="500"/>
        <w:jc w:val="left"/>
        <w:rPr>
          <w:rFonts w:hint="eastAsia" w:ascii="仿宋" w:hAnsi="仿宋" w:eastAsia="仿宋" w:cs="仿宋"/>
          <w:color w:val="auto"/>
          <w:sz w:val="30"/>
          <w:highlight w:val="none"/>
          <w:u w:val="single"/>
        </w:rPr>
      </w:pPr>
      <w:r>
        <w:rPr>
          <w:rFonts w:hint="eastAsia" w:ascii="仿宋" w:hAnsi="仿宋" w:eastAsia="仿宋" w:cs="仿宋"/>
          <w:color w:val="auto"/>
          <w:sz w:val="30"/>
          <w:highlight w:val="none"/>
        </w:rPr>
        <w:t>签约地点：</w:t>
      </w:r>
      <w:r>
        <w:rPr>
          <w:rFonts w:hint="eastAsia" w:ascii="仿宋" w:hAnsi="仿宋" w:eastAsia="仿宋" w:cs="仿宋"/>
          <w:color w:val="auto"/>
          <w:sz w:val="30"/>
          <w:highlight w:val="none"/>
          <w:u w:val="single"/>
        </w:rPr>
        <w:t>海南省儋州市洋浦经济开发区洋浦国际商业大厦</w:t>
      </w:r>
    </w:p>
    <w:p>
      <w:pPr>
        <w:tabs>
          <w:tab w:val="left" w:pos="992"/>
        </w:tabs>
        <w:ind w:firstLine="600" w:firstLineChars="200"/>
        <w:jc w:val="left"/>
        <w:rPr>
          <w:rFonts w:hint="eastAsia" w:ascii="仿宋" w:hAnsi="仿宋" w:eastAsia="仿宋" w:cs="仿宋"/>
          <w:color w:val="auto"/>
          <w:sz w:val="24"/>
          <w:highlight w:val="none"/>
        </w:rPr>
      </w:pPr>
      <w:r>
        <w:rPr>
          <w:rFonts w:hint="eastAsia" w:ascii="仿宋" w:hAnsi="仿宋" w:eastAsia="仿宋" w:cs="仿宋"/>
          <w:color w:val="auto"/>
          <w:sz w:val="30"/>
          <w:highlight w:val="none"/>
          <w:u w:val="none"/>
        </w:rPr>
        <w:t>签约时间：</w:t>
      </w:r>
      <w:r>
        <w:rPr>
          <w:rFonts w:hint="eastAsia" w:ascii="仿宋" w:hAnsi="仿宋" w:eastAsia="仿宋" w:cs="仿宋"/>
          <w:color w:val="auto"/>
          <w:sz w:val="30"/>
          <w:highlight w:val="none"/>
          <w:u w:val="single"/>
        </w:rPr>
        <w:t>202</w:t>
      </w:r>
      <w:r>
        <w:rPr>
          <w:rFonts w:hint="eastAsia" w:ascii="仿宋" w:hAnsi="仿宋" w:eastAsia="仿宋" w:cs="仿宋"/>
          <w:color w:val="auto"/>
          <w:sz w:val="30"/>
          <w:highlight w:val="none"/>
          <w:u w:val="single"/>
          <w:lang w:val="en-US" w:eastAsia="zh-CN"/>
        </w:rPr>
        <w:t>4</w:t>
      </w:r>
      <w:r>
        <w:rPr>
          <w:rFonts w:hint="eastAsia" w:ascii="仿宋" w:hAnsi="仿宋" w:eastAsia="仿宋" w:cs="仿宋"/>
          <w:color w:val="auto"/>
          <w:sz w:val="30"/>
          <w:highlight w:val="none"/>
          <w:u w:val="single"/>
        </w:rPr>
        <w:t>年   月   日</w:t>
      </w:r>
      <w:bookmarkEnd w:id="12"/>
    </w:p>
    <w:p>
      <w:pPr>
        <w:jc w:val="center"/>
        <w:rPr>
          <w:rFonts w:hint="eastAsia" w:ascii="宋体" w:hAnsi="宋体" w:eastAsia="宋体" w:cs="宋体"/>
          <w:color w:val="auto"/>
          <w:sz w:val="44"/>
          <w:highlight w:val="none"/>
          <w:lang w:val="en-US" w:eastAsia="zh-CN"/>
        </w:rPr>
      </w:pPr>
    </w:p>
    <w:p>
      <w:pPr>
        <w:jc w:val="center"/>
        <w:rPr>
          <w:rFonts w:hint="eastAsia" w:ascii="宋体" w:hAnsi="宋体" w:eastAsia="宋体" w:cs="宋体"/>
          <w:color w:val="auto"/>
          <w:sz w:val="44"/>
          <w:highlight w:val="none"/>
          <w:lang w:val="en-US" w:eastAsia="zh-CN"/>
        </w:rPr>
      </w:pPr>
    </w:p>
    <w:p>
      <w:pPr>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甲  方：</w:t>
      </w:r>
      <w:r>
        <w:rPr>
          <w:rFonts w:hint="eastAsia" w:ascii="仿宋" w:hAnsi="仿宋" w:eastAsia="仿宋" w:cs="仿宋"/>
          <w:color w:val="auto"/>
          <w:sz w:val="24"/>
          <w:szCs w:val="24"/>
          <w:highlight w:val="none"/>
          <w:u w:val="single"/>
          <w:lang w:val="zh-CN" w:bidi="zh-CN"/>
        </w:rPr>
        <w:t>海南洋浦陆海国际贸易有限公司</w:t>
      </w:r>
      <w:r>
        <w:rPr>
          <w:rFonts w:hint="eastAsia" w:ascii="仿宋" w:hAnsi="仿宋" w:eastAsia="仿宋" w:cs="仿宋"/>
          <w:color w:val="auto"/>
          <w:sz w:val="24"/>
          <w:szCs w:val="24"/>
          <w:highlight w:val="none"/>
          <w:lang w:val="zh-CN" w:bidi="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u w:val="single"/>
          <w:lang w:bidi="zh-CN"/>
        </w:rPr>
      </w:pPr>
      <w:r>
        <w:rPr>
          <w:rFonts w:hint="eastAsia" w:ascii="仿宋" w:hAnsi="仿宋" w:eastAsia="仿宋" w:cs="仿宋"/>
          <w:color w:val="auto"/>
          <w:sz w:val="24"/>
          <w:szCs w:val="24"/>
          <w:highlight w:val="none"/>
          <w:lang w:val="zh-CN" w:bidi="zh-CN"/>
        </w:rPr>
        <w:t>住  所：</w:t>
      </w:r>
      <w:r>
        <w:rPr>
          <w:rFonts w:hint="eastAsia" w:ascii="仿宋" w:hAnsi="仿宋" w:eastAsia="仿宋" w:cs="仿宋"/>
          <w:color w:val="auto"/>
          <w:sz w:val="24"/>
          <w:szCs w:val="24"/>
          <w:highlight w:val="none"/>
          <w:u w:val="single"/>
          <w:lang w:bidi="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snapToGrid w:val="0"/>
          <w:color w:val="auto"/>
          <w:sz w:val="24"/>
          <w:szCs w:val="24"/>
          <w:highlight w:val="none"/>
          <w:lang w:val="zh-CN" w:bidi="zh-CN"/>
        </w:rPr>
        <w:t>乙  方</w:t>
      </w:r>
      <w:r>
        <w:rPr>
          <w:rFonts w:hint="eastAsia" w:ascii="仿宋" w:hAnsi="仿宋" w:eastAsia="仿宋" w:cs="仿宋"/>
          <w:color w:val="auto"/>
          <w:sz w:val="24"/>
          <w:szCs w:val="24"/>
          <w:highlight w:val="none"/>
          <w:lang w:val="zh-CN" w:bidi="zh-CN"/>
        </w:rPr>
        <w:t>：</w:t>
      </w:r>
      <w:r>
        <w:rPr>
          <w:rFonts w:hint="eastAsia" w:ascii="仿宋" w:hAnsi="仿宋" w:eastAsia="仿宋" w:cs="仿宋"/>
          <w:color w:val="auto"/>
          <w:sz w:val="24"/>
          <w:szCs w:val="24"/>
          <w:highlight w:val="none"/>
          <w:lang w:bidi="zh-CN"/>
        </w:rPr>
        <w:t xml:space="preserve"> </w:t>
      </w:r>
      <w:r>
        <w:rPr>
          <w:rFonts w:hint="eastAsia" w:ascii="仿宋" w:hAnsi="仿宋" w:eastAsia="仿宋" w:cs="仿宋"/>
          <w:color w:val="auto"/>
          <w:sz w:val="24"/>
          <w:szCs w:val="24"/>
          <w:highlight w:val="none"/>
          <w:u w:val="single"/>
          <w:lang w:bidi="zh-CN"/>
        </w:rPr>
        <w:t xml:space="preserve">            </w:t>
      </w:r>
      <w:r>
        <w:rPr>
          <w:rFonts w:hint="eastAsia" w:ascii="仿宋" w:hAnsi="仿宋" w:eastAsia="仿宋" w:cs="仿宋"/>
          <w:color w:val="auto"/>
          <w:sz w:val="24"/>
          <w:szCs w:val="24"/>
          <w:highlight w:val="none"/>
          <w:lang w:val="zh-CN" w:bidi="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lang w:bidi="zh-CN"/>
        </w:rPr>
      </w:pPr>
      <w:r>
        <w:rPr>
          <w:rFonts w:hint="eastAsia" w:ascii="仿宋" w:hAnsi="仿宋" w:eastAsia="仿宋" w:cs="仿宋"/>
          <w:color w:val="auto"/>
          <w:sz w:val="24"/>
          <w:szCs w:val="24"/>
          <w:highlight w:val="none"/>
          <w:lang w:val="zh-CN" w:bidi="zh-CN"/>
        </w:rPr>
        <w:t>住  所：</w:t>
      </w:r>
      <w:r>
        <w:rPr>
          <w:rFonts w:hint="eastAsia" w:ascii="仿宋" w:hAnsi="仿宋" w:eastAsia="仿宋" w:cs="仿宋"/>
          <w:color w:val="auto"/>
          <w:sz w:val="24"/>
          <w:szCs w:val="24"/>
          <w:highlight w:val="none"/>
          <w:u w:val="single"/>
          <w:lang w:bidi="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法定代表人：         </w:t>
      </w:r>
    </w:p>
    <w:p>
      <w:pPr>
        <w:keepNext w:val="0"/>
        <w:keepLines w:val="0"/>
        <w:pageBreakBefore w:val="0"/>
        <w:widowControl w:val="0"/>
        <w:kinsoku/>
        <w:wordWrap/>
        <w:overflowPunct/>
        <w:topLinePunct w:val="0"/>
        <w:autoSpaceDE/>
        <w:autoSpaceDN/>
        <w:bidi w:val="0"/>
        <w:adjustRightInd/>
        <w:snapToGrid/>
        <w:spacing w:line="480" w:lineRule="exact"/>
        <w:ind w:left="36" w:firstLine="720" w:firstLineChars="3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根据《中华人民共和国民法典》及相关法律法规，为明确甲方与乙方的权利义务，经双方协商一致，</w:t>
      </w:r>
      <w:r>
        <w:rPr>
          <w:rFonts w:hint="eastAsia" w:ascii="仿宋" w:hAnsi="仿宋" w:eastAsia="仿宋" w:cs="仿宋"/>
          <w:color w:val="auto"/>
          <w:sz w:val="24"/>
          <w:szCs w:val="24"/>
          <w:highlight w:val="none"/>
          <w:lang w:bidi="zh-CN"/>
        </w:rPr>
        <w:t>甲方</w:t>
      </w:r>
      <w:r>
        <w:rPr>
          <w:rFonts w:hint="eastAsia" w:ascii="仿宋" w:hAnsi="仿宋" w:eastAsia="仿宋" w:cs="仿宋"/>
          <w:color w:val="auto"/>
          <w:sz w:val="24"/>
          <w:szCs w:val="24"/>
          <w:highlight w:val="none"/>
          <w:lang w:val="zh-CN" w:bidi="zh-CN"/>
        </w:rPr>
        <w:t>就</w:t>
      </w:r>
      <w:r>
        <w:rPr>
          <w:rFonts w:hint="eastAsia" w:ascii="仿宋" w:hAnsi="仿宋" w:eastAsia="仿宋" w:cs="仿宋"/>
          <w:color w:val="auto"/>
          <w:sz w:val="24"/>
          <w:szCs w:val="24"/>
          <w:highlight w:val="none"/>
          <w:lang w:val="en-US" w:bidi="zh-CN"/>
        </w:rPr>
        <w:t>向乙方采购</w:t>
      </w:r>
      <w:r>
        <w:rPr>
          <w:rFonts w:hint="eastAsia" w:ascii="仿宋" w:hAnsi="仿宋" w:eastAsia="仿宋" w:cs="仿宋"/>
          <w:color w:val="auto"/>
          <w:sz w:val="24"/>
          <w:szCs w:val="24"/>
          <w:highlight w:val="none"/>
          <w:u w:val="single"/>
          <w:lang w:val="en-US" w:bidi="zh-CN"/>
        </w:rPr>
        <w:t>砂石</w:t>
      </w:r>
      <w:r>
        <w:rPr>
          <w:rFonts w:hint="eastAsia" w:ascii="仿宋" w:hAnsi="仿宋" w:eastAsia="仿宋" w:cs="仿宋"/>
          <w:color w:val="auto"/>
          <w:sz w:val="24"/>
          <w:szCs w:val="24"/>
          <w:highlight w:val="none"/>
          <w:lang w:val="zh-CN" w:bidi="zh-CN"/>
        </w:rPr>
        <w:t>事宜，签订本合同，双方共同遵守。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rPr>
          <w:rFonts w:hint="eastAsia" w:ascii="仿宋" w:hAnsi="仿宋" w:eastAsia="仿宋" w:cs="仿宋"/>
          <w:b/>
          <w:bCs/>
          <w:color w:val="auto"/>
          <w:sz w:val="24"/>
          <w:szCs w:val="24"/>
          <w:highlight w:val="none"/>
          <w:lang w:val="zh-CN" w:bidi="zh-CN"/>
        </w:rPr>
      </w:pPr>
      <w:r>
        <w:rPr>
          <w:rFonts w:hint="eastAsia" w:ascii="仿宋" w:hAnsi="仿宋" w:eastAsia="仿宋" w:cs="仿宋"/>
          <w:b/>
          <w:bCs/>
          <w:color w:val="auto"/>
          <w:sz w:val="24"/>
          <w:szCs w:val="24"/>
          <w:highlight w:val="none"/>
          <w:lang w:val="zh-CN" w:bidi="zh-CN"/>
        </w:rPr>
        <w:t>1  货物及数量</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仿宋" w:hAnsi="仿宋" w:eastAsia="仿宋" w:cs="仿宋"/>
          <w:color w:val="auto"/>
          <w:sz w:val="24"/>
          <w:szCs w:val="24"/>
          <w:highlight w:val="none"/>
          <w:lang w:val="zh-CN" w:bidi="zh-CN"/>
        </w:rPr>
      </w:pPr>
      <w:r>
        <w:rPr>
          <w:rFonts w:hint="eastAsia" w:ascii="仿宋" w:hAnsi="仿宋" w:eastAsia="仿宋" w:cs="仿宋"/>
          <w:color w:val="auto"/>
          <w:sz w:val="24"/>
          <w:szCs w:val="24"/>
          <w:highlight w:val="none"/>
          <w:lang w:val="zh-CN" w:bidi="zh-CN"/>
        </w:rPr>
        <w:t>1.1货物的名称、数量、规格等详见下表。（</w:t>
      </w:r>
      <w:r>
        <w:rPr>
          <w:rFonts w:hint="eastAsia" w:ascii="仿宋" w:hAnsi="仿宋" w:eastAsia="仿宋" w:cs="仿宋"/>
          <w:color w:val="auto"/>
          <w:sz w:val="24"/>
          <w:szCs w:val="24"/>
          <w:highlight w:val="none"/>
          <w:lang w:val="en-US" w:bidi="zh-CN"/>
        </w:rPr>
        <w:t>因本项目采用低价评标法，因此清单以实际中标材料为准。</w:t>
      </w:r>
      <w:r>
        <w:rPr>
          <w:rFonts w:hint="eastAsia" w:ascii="仿宋" w:hAnsi="仿宋" w:eastAsia="仿宋" w:cs="仿宋"/>
          <w:color w:val="auto"/>
          <w:sz w:val="24"/>
          <w:szCs w:val="24"/>
          <w:highlight w:val="none"/>
          <w:lang w:val="zh-CN" w:bidi="zh-CN"/>
        </w:rPr>
        <w:t>）</w:t>
      </w:r>
    </w:p>
    <w:tbl>
      <w:tblPr>
        <w:tblStyle w:val="18"/>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990"/>
        <w:gridCol w:w="1428"/>
        <w:gridCol w:w="913"/>
        <w:gridCol w:w="636"/>
        <w:gridCol w:w="1157"/>
        <w:gridCol w:w="1296"/>
        <w:gridCol w:w="121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6" w:type="dxa"/>
            <w:noWrap/>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990" w:type="dxa"/>
            <w:noWrap/>
            <w:vAlign w:val="center"/>
          </w:tcPr>
          <w:p>
            <w:pPr>
              <w:widowControl/>
              <w:spacing w:line="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区域</w:t>
            </w:r>
          </w:p>
        </w:tc>
        <w:tc>
          <w:tcPr>
            <w:tcW w:w="1428" w:type="dxa"/>
            <w:noWrap/>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名称</w:t>
            </w:r>
          </w:p>
        </w:tc>
        <w:tc>
          <w:tcPr>
            <w:tcW w:w="913" w:type="dxa"/>
            <w:noWrap w:val="0"/>
            <w:vAlign w:val="center"/>
          </w:tcPr>
          <w:p>
            <w:pPr>
              <w:widowControl/>
              <w:spacing w:line="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规格型号</w:t>
            </w:r>
          </w:p>
        </w:tc>
        <w:tc>
          <w:tcPr>
            <w:tcW w:w="636" w:type="dxa"/>
            <w:noWrap w:val="0"/>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单位</w:t>
            </w:r>
          </w:p>
        </w:tc>
        <w:tc>
          <w:tcPr>
            <w:tcW w:w="1157" w:type="dxa"/>
            <w:noWrap/>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不含税单价</w:t>
            </w:r>
          </w:p>
        </w:tc>
        <w:tc>
          <w:tcPr>
            <w:tcW w:w="1296" w:type="dxa"/>
            <w:noWrap/>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税费</w:t>
            </w:r>
          </w:p>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（税率13%）</w:t>
            </w:r>
          </w:p>
        </w:tc>
        <w:tc>
          <w:tcPr>
            <w:tcW w:w="1212" w:type="dxa"/>
            <w:noWrap/>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含税单价</w:t>
            </w:r>
          </w:p>
        </w:tc>
        <w:tc>
          <w:tcPr>
            <w:tcW w:w="708" w:type="dxa"/>
            <w:noWrap/>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6" w:type="dxa"/>
            <w:vMerge w:val="restart"/>
            <w:noWrap/>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990" w:type="dxa"/>
            <w:vMerge w:val="restart"/>
            <w:noWrap/>
            <w:vAlign w:val="center"/>
          </w:tcPr>
          <w:p>
            <w:pPr>
              <w:widowControl/>
              <w:spacing w:line="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洋浦区域</w:t>
            </w:r>
          </w:p>
        </w:tc>
        <w:tc>
          <w:tcPr>
            <w:tcW w:w="1428" w:type="dxa"/>
            <w:noWrap/>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机制砂</w:t>
            </w:r>
          </w:p>
        </w:tc>
        <w:tc>
          <w:tcPr>
            <w:tcW w:w="913" w:type="dxa"/>
            <w:noWrap w:val="0"/>
            <w:vAlign w:val="center"/>
          </w:tcPr>
          <w:p>
            <w:pPr>
              <w:widowControl/>
              <w:spacing w:line="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636" w:type="dxa"/>
            <w:noWrap w:val="0"/>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c>
          <w:tcPr>
            <w:tcW w:w="1296"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1212"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708" w:type="dxa"/>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6" w:type="dxa"/>
            <w:vMerge w:val="continue"/>
            <w:noWrap/>
            <w:vAlign w:val="center"/>
          </w:tcPr>
          <w:p>
            <w:pPr>
              <w:widowControl/>
              <w:spacing w:line="0" w:lineRule="atLeast"/>
              <w:jc w:val="center"/>
              <w:rPr>
                <w:rFonts w:hint="eastAsia" w:ascii="仿宋" w:hAnsi="仿宋" w:eastAsia="仿宋" w:cs="仿宋"/>
                <w:color w:val="000000"/>
                <w:kern w:val="0"/>
                <w:sz w:val="21"/>
                <w:szCs w:val="21"/>
              </w:rPr>
            </w:pPr>
          </w:p>
        </w:tc>
        <w:tc>
          <w:tcPr>
            <w:tcW w:w="990" w:type="dxa"/>
            <w:vMerge w:val="continue"/>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c>
          <w:tcPr>
            <w:tcW w:w="1428" w:type="dxa"/>
            <w:noWrap/>
            <w:vAlign w:val="center"/>
          </w:tcPr>
          <w:p>
            <w:pPr>
              <w:widowControl/>
              <w:spacing w:line="0" w:lineRule="atLeast"/>
              <w:jc w:val="center"/>
              <w:rPr>
                <w:rFonts w:hint="eastAsia" w:ascii="仿宋" w:hAnsi="仿宋" w:eastAsia="仿宋" w:cs="仿宋"/>
                <w:color w:val="000000"/>
                <w:kern w:val="0"/>
                <w:sz w:val="21"/>
                <w:szCs w:val="21"/>
                <w:lang w:val="en-US"/>
              </w:rPr>
            </w:pPr>
            <w:r>
              <w:rPr>
                <w:rFonts w:hint="eastAsia" w:ascii="仿宋" w:hAnsi="仿宋" w:eastAsia="仿宋" w:cs="仿宋"/>
                <w:color w:val="000000"/>
                <w:kern w:val="0"/>
                <w:sz w:val="21"/>
                <w:szCs w:val="21"/>
                <w:lang w:val="en-US" w:eastAsia="zh-CN"/>
              </w:rPr>
              <w:t>级配碎石</w:t>
            </w:r>
          </w:p>
        </w:tc>
        <w:tc>
          <w:tcPr>
            <w:tcW w:w="913" w:type="dxa"/>
            <w:noWrap w:val="0"/>
            <w:vAlign w:val="center"/>
          </w:tcPr>
          <w:p>
            <w:pPr>
              <w:widowControl/>
              <w:spacing w:line="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636" w:type="dxa"/>
            <w:noWrap w:val="0"/>
            <w:vAlign w:val="center"/>
          </w:tcPr>
          <w:p>
            <w:pPr>
              <w:widowControl/>
              <w:spacing w:line="0" w:lineRule="atLeast"/>
              <w:jc w:val="center"/>
              <w:rPr>
                <w:rFonts w:hint="eastAsia" w:ascii="仿宋" w:hAnsi="仿宋" w:eastAsia="仿宋" w:cs="仿宋"/>
                <w:color w:val="000000"/>
                <w:kern w:val="0"/>
                <w:sz w:val="21"/>
                <w:szCs w:val="21"/>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c>
          <w:tcPr>
            <w:tcW w:w="1296"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1212"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708" w:type="dxa"/>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6" w:type="dxa"/>
            <w:vMerge w:val="continue"/>
            <w:noWrap/>
            <w:vAlign w:val="center"/>
          </w:tcPr>
          <w:p>
            <w:pPr>
              <w:widowControl/>
              <w:spacing w:line="0" w:lineRule="atLeast"/>
              <w:jc w:val="center"/>
              <w:rPr>
                <w:rFonts w:hint="eastAsia" w:ascii="仿宋" w:hAnsi="仿宋" w:eastAsia="仿宋" w:cs="仿宋"/>
                <w:color w:val="000000"/>
                <w:kern w:val="0"/>
                <w:sz w:val="21"/>
                <w:szCs w:val="21"/>
              </w:rPr>
            </w:pPr>
          </w:p>
        </w:tc>
        <w:tc>
          <w:tcPr>
            <w:tcW w:w="990" w:type="dxa"/>
            <w:vMerge w:val="continue"/>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c>
          <w:tcPr>
            <w:tcW w:w="1428" w:type="dxa"/>
            <w:noWrap/>
            <w:vAlign w:val="center"/>
          </w:tcPr>
          <w:p>
            <w:pPr>
              <w:widowControl/>
              <w:spacing w:line="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未筛分碎石</w:t>
            </w:r>
          </w:p>
        </w:tc>
        <w:tc>
          <w:tcPr>
            <w:tcW w:w="913" w:type="dxa"/>
            <w:noWrap w:val="0"/>
            <w:vAlign w:val="center"/>
          </w:tcPr>
          <w:p>
            <w:pPr>
              <w:widowControl/>
              <w:spacing w:line="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w:t>
            </w:r>
          </w:p>
        </w:tc>
        <w:tc>
          <w:tcPr>
            <w:tcW w:w="636" w:type="dxa"/>
            <w:noWrap w:val="0"/>
            <w:vAlign w:val="center"/>
          </w:tcPr>
          <w:p>
            <w:pPr>
              <w:widowControl/>
              <w:spacing w:line="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c>
          <w:tcPr>
            <w:tcW w:w="1296"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1212"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708" w:type="dxa"/>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396" w:type="dxa"/>
            <w:vMerge w:val="restart"/>
            <w:noWrap/>
            <w:vAlign w:val="center"/>
          </w:tcPr>
          <w:p>
            <w:pPr>
              <w:widowControl/>
              <w:spacing w:line="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990" w:type="dxa"/>
            <w:vMerge w:val="restart"/>
            <w:noWrap/>
            <w:vAlign w:val="center"/>
          </w:tcPr>
          <w:p>
            <w:pPr>
              <w:widowControl/>
              <w:spacing w:line="0" w:lineRule="atLeast"/>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白马井环湾滨海新区</w:t>
            </w:r>
          </w:p>
        </w:tc>
        <w:tc>
          <w:tcPr>
            <w:tcW w:w="1428" w:type="dxa"/>
            <w:noWrap/>
            <w:vAlign w:val="center"/>
          </w:tcPr>
          <w:p>
            <w:pPr>
              <w:widowControl/>
              <w:spacing w:line="0"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机制砂</w:t>
            </w:r>
          </w:p>
        </w:tc>
        <w:tc>
          <w:tcPr>
            <w:tcW w:w="913" w:type="dxa"/>
            <w:noWrap w:val="0"/>
            <w:vAlign w:val="center"/>
          </w:tcPr>
          <w:p>
            <w:pPr>
              <w:widowControl/>
              <w:spacing w:line="0"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bidi="ar-SA"/>
              </w:rPr>
              <w:t>/</w:t>
            </w:r>
          </w:p>
        </w:tc>
        <w:tc>
          <w:tcPr>
            <w:tcW w:w="636" w:type="dxa"/>
            <w:noWrap w:val="0"/>
            <w:vAlign w:val="center"/>
          </w:tcPr>
          <w:p>
            <w:pPr>
              <w:widowControl/>
              <w:spacing w:line="0"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1296"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1212"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708" w:type="dxa"/>
            <w:noWrap/>
            <w:vAlign w:val="center"/>
          </w:tcPr>
          <w:p>
            <w:pPr>
              <w:widowControl/>
              <w:spacing w:line="0" w:lineRule="atLeas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396" w:type="dxa"/>
            <w:vMerge w:val="continue"/>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c>
          <w:tcPr>
            <w:tcW w:w="990" w:type="dxa"/>
            <w:vMerge w:val="continue"/>
            <w:noWrap/>
            <w:vAlign w:val="center"/>
          </w:tcPr>
          <w:p>
            <w:pPr>
              <w:widowControl/>
              <w:spacing w:line="0" w:lineRule="atLeast"/>
              <w:jc w:val="center"/>
              <w:rPr>
                <w:rFonts w:hint="eastAsia" w:ascii="仿宋" w:hAnsi="仿宋" w:eastAsia="仿宋" w:cs="仿宋"/>
                <w:color w:val="000000"/>
                <w:kern w:val="0"/>
                <w:sz w:val="21"/>
                <w:szCs w:val="21"/>
              </w:rPr>
            </w:pPr>
          </w:p>
        </w:tc>
        <w:tc>
          <w:tcPr>
            <w:tcW w:w="1428" w:type="dxa"/>
            <w:noWrap/>
            <w:vAlign w:val="center"/>
          </w:tcPr>
          <w:p>
            <w:pPr>
              <w:widowControl/>
              <w:spacing w:line="0"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级配碎石</w:t>
            </w:r>
          </w:p>
        </w:tc>
        <w:tc>
          <w:tcPr>
            <w:tcW w:w="913" w:type="dxa"/>
            <w:noWrap w:val="0"/>
            <w:vAlign w:val="center"/>
          </w:tcPr>
          <w:p>
            <w:pPr>
              <w:widowControl/>
              <w:spacing w:line="0"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w:t>
            </w:r>
          </w:p>
        </w:tc>
        <w:tc>
          <w:tcPr>
            <w:tcW w:w="636" w:type="dxa"/>
            <w:noWrap w:val="0"/>
            <w:vAlign w:val="center"/>
          </w:tcPr>
          <w:p>
            <w:pPr>
              <w:widowControl/>
              <w:spacing w:line="0"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1296"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1212"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708" w:type="dxa"/>
            <w:noWrap/>
            <w:vAlign w:val="center"/>
          </w:tcPr>
          <w:p>
            <w:pPr>
              <w:widowControl/>
              <w:spacing w:line="0" w:lineRule="atLeas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96" w:type="dxa"/>
            <w:vMerge w:val="continue"/>
            <w:noWrap/>
            <w:vAlign w:val="center"/>
          </w:tcPr>
          <w:p>
            <w:pPr>
              <w:widowControl/>
              <w:spacing w:line="0" w:lineRule="atLeast"/>
              <w:jc w:val="center"/>
              <w:rPr>
                <w:rFonts w:hint="eastAsia" w:ascii="仿宋" w:hAnsi="仿宋" w:eastAsia="仿宋" w:cs="仿宋"/>
                <w:color w:val="000000"/>
                <w:kern w:val="0"/>
                <w:sz w:val="21"/>
                <w:szCs w:val="21"/>
                <w:lang w:val="en-US" w:eastAsia="zh-CN"/>
              </w:rPr>
            </w:pPr>
          </w:p>
        </w:tc>
        <w:tc>
          <w:tcPr>
            <w:tcW w:w="990" w:type="dxa"/>
            <w:vMerge w:val="continue"/>
            <w:noWrap/>
            <w:vAlign w:val="center"/>
          </w:tcPr>
          <w:p>
            <w:pPr>
              <w:widowControl/>
              <w:spacing w:line="0" w:lineRule="atLeast"/>
              <w:jc w:val="center"/>
              <w:rPr>
                <w:rFonts w:hint="eastAsia" w:ascii="仿宋" w:hAnsi="仿宋" w:eastAsia="仿宋" w:cs="仿宋"/>
                <w:color w:val="000000"/>
                <w:kern w:val="0"/>
                <w:sz w:val="21"/>
                <w:szCs w:val="21"/>
              </w:rPr>
            </w:pPr>
          </w:p>
        </w:tc>
        <w:tc>
          <w:tcPr>
            <w:tcW w:w="1428" w:type="dxa"/>
            <w:noWrap/>
            <w:vAlign w:val="center"/>
          </w:tcPr>
          <w:p>
            <w:pPr>
              <w:widowControl/>
              <w:spacing w:line="0"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未筛分碎石</w:t>
            </w:r>
          </w:p>
        </w:tc>
        <w:tc>
          <w:tcPr>
            <w:tcW w:w="913" w:type="dxa"/>
            <w:noWrap w:val="0"/>
            <w:vAlign w:val="center"/>
          </w:tcPr>
          <w:p>
            <w:pPr>
              <w:widowControl/>
              <w:spacing w:line="0" w:lineRule="atLeas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w:t>
            </w:r>
          </w:p>
        </w:tc>
        <w:tc>
          <w:tcPr>
            <w:tcW w:w="636" w:type="dxa"/>
            <w:noWrap w:val="0"/>
            <w:vAlign w:val="center"/>
          </w:tcPr>
          <w:p>
            <w:pPr>
              <w:widowControl/>
              <w:spacing w:line="0" w:lineRule="atLeas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1296"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1212" w:type="dxa"/>
            <w:noWrap/>
            <w:vAlign w:val="center"/>
          </w:tcPr>
          <w:p>
            <w:pPr>
              <w:widowControl/>
              <w:spacing w:line="0" w:lineRule="atLeast"/>
              <w:jc w:val="center"/>
              <w:rPr>
                <w:rFonts w:hint="eastAsia" w:ascii="仿宋" w:hAnsi="仿宋" w:eastAsia="仿宋" w:cs="仿宋"/>
                <w:color w:val="000000"/>
                <w:kern w:val="0"/>
                <w:sz w:val="21"/>
                <w:szCs w:val="21"/>
              </w:rPr>
            </w:pPr>
          </w:p>
        </w:tc>
        <w:tc>
          <w:tcPr>
            <w:tcW w:w="708" w:type="dxa"/>
            <w:noWrap/>
            <w:vAlign w:val="center"/>
          </w:tcPr>
          <w:p>
            <w:pPr>
              <w:widowControl/>
              <w:spacing w:line="0" w:lineRule="atLeast"/>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736" w:type="dxa"/>
            <w:gridSpan w:val="9"/>
            <w:noWrap/>
            <w:vAlign w:val="center"/>
          </w:tcPr>
          <w:p>
            <w:pPr>
              <w:widowControl/>
              <w:spacing w:line="0" w:lineRule="atLeas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注：1、具体以到场实际合格物资数量为准办理结算；卖方不得以本表价款与买方发生任何经济与法律纠纷，否则视为卖方违约。</w:t>
            </w:r>
          </w:p>
        </w:tc>
      </w:tr>
    </w:tbl>
    <w:p>
      <w:pPr>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供货数量、时间和地点以甲方书面计划为准，结算数量为甲方实收合格数量，甲方有权对合同中的数量和交货时间做调整，乙方</w:t>
      </w:r>
      <w:r>
        <w:rPr>
          <w:rFonts w:hint="eastAsia" w:ascii="仿宋" w:hAnsi="仿宋" w:eastAsia="仿宋" w:cs="仿宋"/>
          <w:color w:val="000000" w:themeColor="text1"/>
          <w:sz w:val="24"/>
          <w:szCs w:val="24"/>
          <w14:textFill>
            <w14:solidFill>
              <w14:schemeClr w14:val="tx1"/>
            </w14:solidFill>
          </w14:textFill>
        </w:rPr>
        <w:t>应予无条件配合。因货物数量调整</w:t>
      </w:r>
      <w:r>
        <w:rPr>
          <w:rFonts w:hint="eastAsia" w:ascii="仿宋" w:hAnsi="仿宋" w:eastAsia="仿宋" w:cs="仿宋"/>
          <w:color w:val="auto"/>
          <w:sz w:val="24"/>
          <w:highlight w:val="none"/>
        </w:rPr>
        <w:t>，当乙方</w:t>
      </w:r>
      <w:r>
        <w:rPr>
          <w:rFonts w:hint="eastAsia" w:ascii="仿宋" w:hAnsi="仿宋" w:eastAsia="仿宋" w:cs="仿宋"/>
          <w:color w:val="auto"/>
          <w:sz w:val="24"/>
          <w:highlight w:val="none"/>
          <w:lang w:val="en-US" w:eastAsia="zh-CN"/>
        </w:rPr>
        <w:t>实际</w:t>
      </w:r>
      <w:r>
        <w:rPr>
          <w:rFonts w:hint="eastAsia" w:ascii="仿宋" w:hAnsi="仿宋" w:eastAsia="仿宋" w:cs="仿宋"/>
          <w:color w:val="auto"/>
          <w:sz w:val="24"/>
          <w:highlight w:val="none"/>
        </w:rPr>
        <w:t>供货量</w:t>
      </w:r>
      <w:r>
        <w:rPr>
          <w:rFonts w:hint="eastAsia" w:ascii="仿宋" w:hAnsi="仿宋" w:eastAsia="仿宋" w:cs="仿宋"/>
          <w:color w:val="auto"/>
          <w:sz w:val="24"/>
          <w:highlight w:val="none"/>
          <w:lang w:val="en-US" w:eastAsia="zh-CN"/>
        </w:rPr>
        <w:t>未达</w:t>
      </w:r>
      <w:r>
        <w:rPr>
          <w:rFonts w:hint="eastAsia" w:ascii="仿宋" w:hAnsi="仿宋" w:eastAsia="仿宋" w:cs="仿宋"/>
          <w:color w:val="auto"/>
          <w:sz w:val="24"/>
          <w:highlight w:val="none"/>
        </w:rPr>
        <w:t>以上暂估数量时，乙方不得以供货数量不足作为索赔的理由。</w:t>
      </w:r>
    </w:p>
    <w:p>
      <w:pPr>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合同结算单价、合同暂估总金额以及最终结算总价都已包括货物价款、供应商出售该物资应缴纳税金及一切税费、</w:t>
      </w:r>
      <w:r>
        <w:rPr>
          <w:rFonts w:hint="eastAsia" w:ascii="仿宋" w:hAnsi="仿宋" w:eastAsia="仿宋" w:cs="仿宋"/>
          <w:color w:val="auto"/>
          <w:sz w:val="24"/>
          <w:highlight w:val="none"/>
          <w:lang w:eastAsia="zh-CN"/>
        </w:rPr>
        <w:t>装卸车费</w:t>
      </w:r>
      <w:r>
        <w:rPr>
          <w:rFonts w:hint="eastAsia" w:ascii="仿宋" w:hAnsi="仿宋" w:eastAsia="仿宋" w:cs="仿宋"/>
          <w:color w:val="auto"/>
          <w:sz w:val="24"/>
          <w:highlight w:val="none"/>
        </w:rPr>
        <w:t>、包装费、保险费、运输费，以及其他运抵至甲方指定交货地点的一切费用；包括售后服务以及市场价格涨幅等的各类风险费用；以及其他所有相关服务费用。</w:t>
      </w:r>
    </w:p>
    <w:p>
      <w:pPr>
        <w:pStyle w:val="4"/>
        <w:pageBreakBefore w:val="0"/>
        <w:widowControl w:val="0"/>
        <w:numPr>
          <w:ilvl w:val="2"/>
          <w:numId w:val="0"/>
        </w:numPr>
        <w:tabs>
          <w:tab w:val="left" w:pos="992"/>
        </w:tabs>
        <w:kinsoku/>
        <w:wordWrap/>
        <w:overflowPunct/>
        <w:topLinePunct w:val="0"/>
        <w:autoSpaceDE/>
        <w:autoSpaceDN/>
        <w:bidi w:val="0"/>
        <w:adjustRightInd/>
        <w:snapToGrid/>
        <w:spacing w:before="0" w:after="0" w:line="520" w:lineRule="exact"/>
        <w:ind w:firstLine="480" w:firstLineChars="200"/>
        <w:textAlignment w:val="auto"/>
        <w:rPr>
          <w:color w:val="auto"/>
          <w:highlight w:val="none"/>
        </w:rPr>
      </w:pPr>
      <w:r>
        <w:rPr>
          <w:rFonts w:hint="eastAsia" w:ascii="仿宋" w:hAnsi="仿宋" w:eastAsia="仿宋" w:cs="仿宋"/>
          <w:b w:val="0"/>
          <w:bCs w:val="0"/>
          <w:color w:val="auto"/>
          <w:sz w:val="24"/>
          <w:szCs w:val="24"/>
          <w:highlight w:val="none"/>
        </w:rPr>
        <w:t>1.4</w:t>
      </w:r>
      <w:r>
        <w:rPr>
          <w:rFonts w:hint="eastAsia" w:eastAsia="仿宋" w:cs="仿宋"/>
          <w:b w:val="0"/>
          <w:bCs w:val="0"/>
          <w:color w:val="auto"/>
          <w:sz w:val="24"/>
          <w:szCs w:val="24"/>
          <w:highlight w:val="none"/>
          <w:lang w:val="en-US" w:eastAsia="zh-CN"/>
        </w:rPr>
        <w:t>乙方供应货物的质保期应在履约质量保证期内</w:t>
      </w:r>
      <w:r>
        <w:rPr>
          <w:rFonts w:hint="eastAsia" w:ascii="仿宋" w:hAnsi="仿宋" w:eastAsia="仿宋" w:cs="仿宋"/>
          <w:b w:val="0"/>
          <w:bCs w:val="0"/>
          <w:color w:val="auto"/>
          <w:kern w:val="0"/>
          <w:sz w:val="24"/>
          <w:szCs w:val="2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zh-CN"/>
        </w:rPr>
        <w:t>2  技术质量要求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2.1相关标准规范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机制砂要求参考《建筑地基基础设计规范》(GB50007-2011)，粒径大于2mm的颗粒含量不超过全重50%，粒径大于0.5mm的颗粒含量超过全重50%，粒径小于0.5mm的颗粒含量介于全重25%-35%之间，不得使用淤泥、耕土、冻土、膨胀土以及有机质含量大于5%的土料，粒径最大不超过 5mm。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未筛分碎石和级配碎石符合JTG/T F20-2015《公路路面基层施工技术细则》，级配碎石底基层压实度应大于或等于95%，压碎值应小于40%，液限小于28%,塑性指数小于6%，碎石中针片状颗粒的总含量不应超过20%。级配碎石及级配碎砾石的颗粒范围如下: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tbl>
      <w:tblPr>
        <w:tblStyle w:val="18"/>
        <w:tblW w:w="8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5"/>
        <w:gridCol w:w="1275"/>
        <w:gridCol w:w="4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070"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级配碎石及级配碎砾石的颗粒范围表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通过下列方筛孔(mm)的质量百分率(%)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底基层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筛孔尺寸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(mm)</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37.5</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31.5</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4. 75</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2.36</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0.60</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0.075</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0~10</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113" w:rightChars="54" w:firstLine="480" w:firstLineChars="200"/>
        <w:jc w:val="left"/>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2.2质量基本条件：</w:t>
      </w:r>
      <w:r>
        <w:rPr>
          <w:rFonts w:hint="eastAsia" w:ascii="仿宋" w:hAnsi="仿宋" w:eastAsia="仿宋" w:cs="仿宋"/>
          <w:sz w:val="24"/>
          <w:highlight w:val="none"/>
        </w:rPr>
        <w:t>质量等级及相关质量参数需具备检测资质的第三方机构检测报告。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ascii="仿宋" w:hAnsi="仿宋" w:eastAsia="仿宋" w:cs="仿宋"/>
          <w:color w:val="auto"/>
          <w:sz w:val="24"/>
          <w:highlight w:val="none"/>
        </w:rPr>
        <w:t>材质证明书：根据甲方要求提供相关证明资料，不限于产品说明书。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质量</w:t>
      </w:r>
      <w:r>
        <w:rPr>
          <w:rFonts w:hint="eastAsia" w:ascii="仿宋" w:hAnsi="仿宋" w:eastAsia="仿宋" w:cs="仿宋"/>
          <w:color w:val="auto"/>
          <w:sz w:val="24"/>
          <w:highlight w:val="none"/>
          <w:lang w:val="en-US" w:eastAsia="zh-CN"/>
        </w:rPr>
        <w:t>服务要求</w:t>
      </w:r>
      <w:r>
        <w:rPr>
          <w:rFonts w:hint="eastAsia" w:ascii="仿宋" w:hAnsi="仿宋" w:eastAsia="仿宋" w:cs="仿宋"/>
          <w:color w:val="auto"/>
          <w:sz w:val="24"/>
          <w:highlight w:val="none"/>
        </w:rPr>
        <w:t>：产品质量应严格符合工程项目的设计、</w:t>
      </w:r>
      <w:r>
        <w:rPr>
          <w:rFonts w:hint="eastAsia" w:ascii="仿宋" w:hAnsi="仿宋" w:eastAsia="仿宋" w:cs="仿宋"/>
          <w:color w:val="auto"/>
          <w:sz w:val="24"/>
          <w:highlight w:val="none"/>
          <w:lang w:val="en-US" w:eastAsia="zh-CN"/>
        </w:rPr>
        <w:t>询价</w:t>
      </w:r>
      <w:r>
        <w:rPr>
          <w:rFonts w:hint="eastAsia" w:ascii="仿宋" w:hAnsi="仿宋" w:eastAsia="仿宋" w:cs="仿宋"/>
          <w:color w:val="auto"/>
          <w:sz w:val="24"/>
          <w:highlight w:val="none"/>
        </w:rPr>
        <w:t>文件及有关工程施工及验收规范的要求，同时产品质量及服务必须满足甲方为保证工程质量而对质量、服务等方面提出的各种进一步要求。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ascii="仿宋" w:hAnsi="仿宋" w:eastAsia="仿宋" w:cs="仿宋"/>
          <w:color w:val="auto"/>
          <w:sz w:val="24"/>
          <w:highlight w:val="none"/>
        </w:rPr>
        <w:t>其他相关要求：</w:t>
      </w:r>
      <w:r>
        <w:rPr>
          <w:rFonts w:hint="eastAsia" w:ascii="仿宋" w:hAnsi="仿宋" w:eastAsia="仿宋" w:cs="仿宋"/>
          <w:sz w:val="24"/>
          <w:highlight w:val="none"/>
        </w:rPr>
        <w:t>乙方应按甲方通知要求提供样品，若供应货物来源发生变化，需重新报备样品</w:t>
      </w:r>
      <w:r>
        <w:rPr>
          <w:rFonts w:hint="eastAsia"/>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2" w:firstLineChars="200"/>
        <w:textAlignment w:val="auto"/>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 xml:space="preserve">3 </w:t>
      </w:r>
      <w:r>
        <w:rPr>
          <w:rFonts w:hint="eastAsia" w:ascii="仿宋" w:hAnsi="仿宋" w:eastAsia="仿宋" w:cs="仿宋"/>
          <w:b/>
          <w:bCs/>
          <w:color w:val="auto"/>
          <w:sz w:val="24"/>
          <w:highlight w:val="none"/>
          <w:lang w:val="en-US" w:eastAsia="zh-CN"/>
        </w:rPr>
        <w:t xml:space="preserve"> </w:t>
      </w:r>
      <w:r>
        <w:rPr>
          <w:rFonts w:hint="eastAsia" w:ascii="仿宋" w:hAnsi="仿宋" w:eastAsia="仿宋" w:cs="仿宋"/>
          <w:b/>
          <w:bCs/>
          <w:color w:val="auto"/>
          <w:sz w:val="24"/>
          <w:highlight w:val="none"/>
          <w:lang w:val="zh-CN"/>
        </w:rPr>
        <w:t>验收方法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按照国家的技术规范和采购标准验收，甲方对乙方所供货物按照规范随机抽样送第三方检测机构检测，检测范围由甲方决定，检测费用由甲方承担，若检测结果不合格则该批次产品视为不合格给予退场，所产生的费用乙方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4  </w:t>
      </w:r>
      <w:r>
        <w:rPr>
          <w:rFonts w:hint="eastAsia" w:ascii="仿宋" w:hAnsi="仿宋" w:eastAsia="仿宋" w:cs="仿宋"/>
          <w:b/>
          <w:color w:val="auto"/>
          <w:sz w:val="24"/>
          <w:highlight w:val="none"/>
        </w:rPr>
        <w:t>交货地点、交货人员、交货期限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4.1</w:t>
      </w:r>
      <w:r>
        <w:rPr>
          <w:rFonts w:hint="eastAsia" w:ascii="仿宋" w:hAnsi="仿宋" w:eastAsia="仿宋" w:cs="仿宋"/>
          <w:color w:val="auto"/>
          <w:sz w:val="24"/>
          <w:highlight w:val="none"/>
        </w:rPr>
        <w:t>交货地点：甲方指定交货地点，乙方按甲方的供货通知所要求的规格、数量，供应甲方合同明细中要求的物资。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4.2甲方指定收货人员姓名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负责签字验收；乙方指定送货人员姓名：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，微信号：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 xml:space="preserve"> 。任一方如要求变更上述人员及相关信息的，应在送货、交货前书面通知另一方，该通知函件作为本合同的补充条款，非合同约定人员签字的货单，不作为双方结算的依据。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w:t>
      </w:r>
      <w:r>
        <w:rPr>
          <w:rFonts w:hint="eastAsia" w:ascii="仿宋" w:hAnsi="仿宋" w:eastAsia="仿宋" w:cs="仿宋"/>
          <w:color w:val="auto"/>
          <w:sz w:val="24"/>
          <w:highlight w:val="none"/>
        </w:rPr>
        <w:t>交货日期：合同签订完成，甲方下采购订单，乙方收到订单后15天内具备供货条件，乙方收到每批次货物供货指令72小时内送达该项目指定地点。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2" w:firstLineChars="200"/>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 xml:space="preserve">5  </w:t>
      </w:r>
      <w:r>
        <w:rPr>
          <w:rFonts w:hint="eastAsia" w:ascii="仿宋" w:hAnsi="仿宋" w:eastAsia="仿宋" w:cs="仿宋"/>
          <w:b/>
          <w:color w:val="auto"/>
          <w:sz w:val="24"/>
          <w:highlight w:val="none"/>
        </w:rPr>
        <w:t>货款的结算及支付方式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ascii="仿宋" w:hAnsi="仿宋" w:eastAsia="仿宋" w:cs="仿宋"/>
          <w:color w:val="000000"/>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计量方式：若现场有地磅，则过磅计量；不具备过磅条件的，以量方计量，出场磅单复核。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5.2</w:t>
      </w:r>
      <w:r>
        <w:rPr>
          <w:rFonts w:hint="eastAsia" w:ascii="仿宋" w:hAnsi="仿宋" w:eastAsia="仿宋" w:cs="仿宋"/>
          <w:color w:val="000000"/>
          <w:sz w:val="24"/>
          <w:highlight w:val="none"/>
        </w:rPr>
        <w:t>结算方式：月结，当月20日至次月19日为一个结算周期，结算周期结束后5日内双方就供应合格物资办理对账结算；对账结算完毕，乙方提交对应金额的增值税专用发票，甲方收到发票后15个工作日内以包括但不限于银行转账、银行承兑汇票支付该月结算物资价款的100%。（如甲方以银行承兑方式支付货款的，承兑贴现利息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5.3乙方指定收款账户：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名    称：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开 户 行：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账    号：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5.4甲方开票信息：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名    称：</w:t>
      </w:r>
      <w:r>
        <w:rPr>
          <w:rFonts w:hint="eastAsia" w:ascii="仿宋" w:hAnsi="仿宋" w:eastAsia="仿宋" w:cs="仿宋"/>
          <w:color w:val="000000"/>
          <w:sz w:val="24"/>
          <w:highlight w:val="none"/>
          <w:u w:val="single"/>
        </w:rPr>
        <w:t>海南洋浦陆海国际贸易有限公司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纳税人识别号：</w:t>
      </w:r>
      <w:r>
        <w:rPr>
          <w:rFonts w:hint="eastAsia" w:ascii="仿宋" w:hAnsi="仿宋" w:eastAsia="仿宋" w:cs="仿宋"/>
          <w:color w:val="000000"/>
          <w:sz w:val="24"/>
          <w:highlight w:val="none"/>
          <w:u w:val="single"/>
        </w:rPr>
        <w:t>91460000MABU89U388</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营业地址：</w:t>
      </w:r>
      <w:r>
        <w:rPr>
          <w:rFonts w:hint="eastAsia" w:ascii="仿宋" w:hAnsi="仿宋" w:eastAsia="仿宋" w:cs="仿宋"/>
          <w:color w:val="000000"/>
          <w:sz w:val="24"/>
          <w:highlight w:val="none"/>
          <w:u w:val="single"/>
        </w:rPr>
        <w:t>海南省洋浦经济开发区新英湾区控股大道洋浦大厦8楼818房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电    话：</w:t>
      </w:r>
      <w:r>
        <w:rPr>
          <w:rFonts w:hint="eastAsia" w:ascii="仿宋" w:hAnsi="仿宋" w:eastAsia="仿宋" w:cs="仿宋"/>
          <w:color w:val="000000"/>
          <w:sz w:val="24"/>
          <w:highlight w:val="none"/>
          <w:u w:val="single"/>
        </w:rPr>
        <w:t>0898-28816705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开 户 行：</w:t>
      </w:r>
      <w:r>
        <w:rPr>
          <w:rFonts w:hint="eastAsia" w:ascii="仿宋" w:hAnsi="仿宋" w:eastAsia="仿宋" w:cs="仿宋"/>
          <w:color w:val="000000"/>
          <w:sz w:val="24"/>
          <w:highlight w:val="none"/>
          <w:u w:val="single"/>
        </w:rPr>
        <w:t>海南银行股份有限公司洋浦支行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银行账号：</w:t>
      </w:r>
      <w:r>
        <w:rPr>
          <w:rFonts w:hint="eastAsia" w:ascii="仿宋" w:hAnsi="仿宋" w:eastAsia="仿宋" w:cs="仿宋"/>
          <w:color w:val="000000"/>
          <w:sz w:val="24"/>
          <w:highlight w:val="none"/>
          <w:u w:val="single"/>
        </w:rPr>
        <w:t>6005178800010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2" w:firstLineChars="200"/>
        <w:textAlignment w:val="auto"/>
        <w:rPr>
          <w:rFonts w:hint="eastAsia" w:ascii="仿宋" w:hAnsi="仿宋" w:eastAsia="仿宋" w:cs="仿宋"/>
          <w:color w:val="000000"/>
          <w:sz w:val="24"/>
          <w:highlight w:val="none"/>
          <w:u w:val="none"/>
        </w:rPr>
      </w:pPr>
      <w:r>
        <w:rPr>
          <w:rFonts w:hint="eastAsia" w:ascii="仿宋" w:hAnsi="仿宋" w:eastAsia="仿宋" w:cs="仿宋"/>
          <w:b/>
          <w:bCs/>
          <w:color w:val="000000"/>
          <w:sz w:val="24"/>
          <w:highlight w:val="none"/>
          <w:u w:val="none"/>
        </w:rPr>
        <w:t>6 违约责任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6.1乙方若不能按甲方需求在规定期限送至指定现场存货地点，乙方将承担因此造成的一切损失，并且甲方向乙方收取逾期运达物资总额（含增值税）每日0.5％的违约金，若逾期三天以上，则甲方有权因乙方违约而单方解除本合同。（产品实际运送到合同指定地点的时间为乙方的实际交货时间，并以此来确定是否构成逾期交货）；若因乙方逾期供货，导致甲方所负责供应的项目工期延误，甲方因此而遭受损失的，则甲方可按照批次货价的20%收取违约金，同时可要求乙方赔偿因工程延期而使甲方遭受的全部损失。若出现此类情况两次，则甲方可单方解除合同。乙方不得因甲方未按期付款而停止供应，如因停止供应造成的损失参照乙方逾期供应违约责任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6.2本合同所采购与供应的物资，在进场验收或使用过程中出现品牌规格数量不符、单据丢失、物资质量不达标等问题，甲方可按下列条款中的一条或多条向乙方主张权利：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（1）甲方有权拒收物资，乙方应把被拒收物资的预付货款返还甲方。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（2）要求乙方承担退货过程中发生的一切损失和费用，包括利息、银行费用、运输和保险费、检验费、仓储和装卸费以及为保管和保护退货货物所需的其它费用。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3）若乙方出现单据丢失等情况，则甲方对乙方每次处以500元人民币的违约金，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4）若出现规格数量不符的情况，甲方有权要求乙方在3日内补足所要求规格或数量的物资，同时甲方对乙方每次处以1000元人民币的违约金；若因此类情况导致工期出现延误的，导致甲方遭受损失，甲方有权要求乙方按照当批次货价20%支付违约金，并赔偿由此遭受的全部损失；若出现此类情况两次，则甲方可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（5）若出现质量不合格或随机抽检不合格的产品，甲方有权邀请具有检测资质的检测机构进行全面检验，并出具检验证书，若证实乙方所供物资不符合要求，甲方对乙方每次处以</w:t>
      </w:r>
      <w:r>
        <w:rPr>
          <w:rFonts w:hint="eastAsia" w:ascii="仿宋" w:hAnsi="仿宋" w:eastAsia="仿宋" w:cs="仿宋"/>
          <w:color w:val="000000"/>
          <w:sz w:val="24"/>
          <w:highlight w:val="none"/>
          <w:u w:val="none"/>
          <w:lang w:val="en-US" w:eastAsia="zh-CN"/>
        </w:rPr>
        <w:t>1</w:t>
      </w:r>
      <w:r>
        <w:rPr>
          <w:rFonts w:hint="eastAsia" w:ascii="仿宋" w:hAnsi="仿宋" w:eastAsia="仿宋" w:cs="仿宋"/>
          <w:color w:val="000000"/>
          <w:sz w:val="24"/>
          <w:highlight w:val="none"/>
          <w:u w:val="none"/>
        </w:rPr>
        <w:t>0000元人民币的违约金，最高不超过合同总金额的10%，若因此类情况导致工期出现延误的，导致甲方遭受损失，甲方有权要求乙方按照当批次货价20%支付违约金，并赔偿由此遭受的全部损失；乙方需72小时内更换有缺陷的物资，以达到合同约定的质量和性能，不能及时更换，则乙方需承担每次500元的违约金，且乙方承担一切费用和风险；若出现此类情况两次，则甲方可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6.3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如因业主、政府未及时付款而造成甲方逾期付款的，乙方应予理解，甲方不因此承担逾期付款违约责任，且甲方不承担逾期付款的利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6.4任何一方违反本合同的义务给其他守约方造成损失的，违约方都应当立即停止违约行为，并承担赔偿损失责任，包括但不限于守约方为追索权利而支出的诉讼费、保全费、评估费、鉴定费、调查</w:t>
      </w:r>
      <w:bookmarkStart w:id="13" w:name="_GoBack"/>
      <w:bookmarkEnd w:id="13"/>
      <w:r>
        <w:rPr>
          <w:rFonts w:hint="eastAsia" w:ascii="仿宋" w:hAnsi="仿宋" w:eastAsia="仿宋" w:cs="仿宋"/>
          <w:color w:val="000000"/>
          <w:sz w:val="24"/>
          <w:highlight w:val="none"/>
          <w:u w:val="none"/>
        </w:rPr>
        <w:t>费、公证费、律师费，以及向第三方支付的赔偿、为应对第三方的指控而支付的一切费用。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2" w:firstLineChars="200"/>
        <w:textAlignment w:val="auto"/>
        <w:rPr>
          <w:rFonts w:hint="eastAsia" w:ascii="仿宋" w:hAnsi="仿宋" w:eastAsia="仿宋" w:cs="仿宋"/>
          <w:b/>
          <w:bCs/>
          <w:color w:val="000000"/>
          <w:sz w:val="24"/>
          <w:highlight w:val="none"/>
          <w:u w:val="none"/>
        </w:rPr>
      </w:pPr>
      <w:r>
        <w:rPr>
          <w:rFonts w:hint="eastAsia" w:ascii="仿宋" w:hAnsi="仿宋" w:eastAsia="仿宋" w:cs="仿宋"/>
          <w:b/>
          <w:bCs/>
          <w:color w:val="000000"/>
          <w:sz w:val="24"/>
          <w:highlight w:val="none"/>
          <w:u w:val="none"/>
        </w:rPr>
        <w:t>7  合同生效及争议解决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7.1  本合同经双方加盖公章后生效，有效期至合同履约完毕货、款两清后自动终止；本合同未尽事宜，由甲乙双方另行协商并签订补充协议。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7.2  因本合同（协议）引起的一切争议，由双方当事人协商解决；协商不成，双方将争议提交甲方所在地人民法院解决。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2" w:firstLineChars="200"/>
        <w:textAlignment w:val="auto"/>
        <w:rPr>
          <w:rFonts w:hint="eastAsia" w:ascii="仿宋" w:hAnsi="仿宋" w:eastAsia="仿宋" w:cs="仿宋"/>
          <w:b/>
          <w:bCs/>
          <w:color w:val="000000"/>
          <w:sz w:val="24"/>
          <w:highlight w:val="none"/>
          <w:u w:val="none"/>
        </w:rPr>
      </w:pPr>
      <w:r>
        <w:rPr>
          <w:rFonts w:hint="eastAsia" w:ascii="仿宋" w:hAnsi="仿宋" w:eastAsia="仿宋" w:cs="仿宋"/>
          <w:b/>
          <w:bCs/>
          <w:color w:val="000000"/>
          <w:sz w:val="24"/>
          <w:highlight w:val="none"/>
          <w:u w:val="none"/>
        </w:rPr>
        <w:t>8  通知及送达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8.1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甲方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联系人：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联系电话：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联系邮箱：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联系地址：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联系人：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联系电话：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联系邮箱：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联系地址：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8.2  任何一方变更本合同所示的项目联系人及联系方式，应提前3日书面通知对方。否则对方有权依据本合同载明的联络信息进行联系，且视为送达。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9  其他约定事项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 xml:space="preserve">9.1  双方往来均以书面形式（指合同书、函件、传真）为准。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000000"/>
          <w:sz w:val="24"/>
          <w:highlight w:val="none"/>
          <w:u w:val="none"/>
        </w:rPr>
      </w:pPr>
      <w:r>
        <w:rPr>
          <w:rFonts w:hint="eastAsia" w:ascii="仿宋" w:hAnsi="仿宋" w:eastAsia="仿宋" w:cs="仿宋"/>
          <w:color w:val="000000"/>
          <w:sz w:val="24"/>
          <w:highlight w:val="none"/>
          <w:u w:val="none"/>
        </w:rPr>
        <w:t>9.2  本合同一式肆份，甲方贰份，乙方贰份，均具有同等法律效力。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甲方（盖章）：                       乙方（盖章）：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法人代表（签章）：                  法人代表（签章）：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签署日期：2024年  月  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lang w:val="zh-CN"/>
        </w:rPr>
      </w:pPr>
    </w:p>
    <w:p>
      <w:pPr>
        <w:rPr>
          <w:rFonts w:hint="eastAsia" w:ascii="仿宋" w:hAnsi="仿宋" w:eastAsia="仿宋"/>
          <w:color w:val="000000"/>
          <w:sz w:val="24"/>
          <w:szCs w:val="24"/>
        </w:rPr>
      </w:pPr>
      <w:r>
        <w:rPr>
          <w:rFonts w:hint="eastAsia" w:ascii="仿宋" w:hAnsi="仿宋" w:eastAsia="仿宋"/>
          <w:color w:val="000000"/>
          <w:sz w:val="24"/>
          <w:szCs w:val="24"/>
        </w:rPr>
        <w:t>附件一：</w:t>
      </w:r>
    </w:p>
    <w:p>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ascii="仿宋" w:hAnsi="仿宋" w:eastAsia="仿宋" w:cs="仿宋"/>
          <w:color w:val="auto"/>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lang w:val="en-US" w:eastAsia="zh-CN"/>
        </w:rPr>
      </w:pPr>
    </w:p>
    <w:p>
      <w:pPr>
        <w:rPr>
          <w:rFonts w:hint="eastAsia" w:ascii="楷体_GB2312" w:hAnsi="楷体_GB2312" w:eastAsia="楷体_GB2312" w:cs="楷体_GB2312"/>
          <w:b/>
          <w:bCs/>
          <w:kern w:val="44"/>
          <w:sz w:val="24"/>
          <w:szCs w:val="24"/>
        </w:rPr>
      </w:pPr>
      <w:r>
        <w:rPr>
          <w:rFonts w:hint="eastAsia" w:ascii="楷体_GB2312" w:hAnsi="楷体_GB2312" w:eastAsia="楷体_GB2312" w:cs="楷体_GB2312"/>
          <w:b/>
          <w:bCs/>
          <w:kern w:val="44"/>
          <w:sz w:val="24"/>
          <w:szCs w:val="24"/>
        </w:rPr>
        <w:br w:type="page"/>
      </w:r>
    </w:p>
    <w:p>
      <w:pPr>
        <w:pStyle w:val="26"/>
        <w:spacing w:line="360" w:lineRule="auto"/>
        <w:ind w:firstLine="0" w:firstLineChars="0"/>
        <w:jc w:val="center"/>
        <w:rPr>
          <w:rFonts w:hint="eastAsia" w:ascii="楷体_GB2312" w:hAnsi="楷体_GB2312" w:eastAsia="楷体_GB2312" w:cs="楷体_GB2312"/>
          <w:b/>
          <w:bCs/>
          <w:kern w:val="44"/>
          <w:sz w:val="24"/>
          <w:szCs w:val="24"/>
          <w:lang w:eastAsia="zh-CN"/>
        </w:rPr>
      </w:pPr>
      <w:r>
        <w:rPr>
          <w:rFonts w:hint="eastAsia" w:ascii="楷体_GB2312" w:hAnsi="楷体_GB2312" w:eastAsia="楷体_GB2312" w:cs="楷体_GB2312"/>
          <w:b/>
          <w:bCs/>
          <w:kern w:val="44"/>
          <w:sz w:val="24"/>
          <w:szCs w:val="24"/>
        </w:rPr>
        <w:t>第</w:t>
      </w:r>
      <w:r>
        <w:rPr>
          <w:rFonts w:hint="eastAsia" w:ascii="楷体_GB2312" w:hAnsi="楷体_GB2312" w:eastAsia="楷体_GB2312" w:cs="楷体_GB2312"/>
          <w:b/>
          <w:bCs/>
          <w:kern w:val="44"/>
          <w:sz w:val="24"/>
          <w:szCs w:val="24"/>
          <w:lang w:val="en-US" w:eastAsia="zh-CN"/>
        </w:rPr>
        <w:t>三</w:t>
      </w:r>
      <w:r>
        <w:rPr>
          <w:rFonts w:hint="eastAsia" w:ascii="楷体_GB2312" w:hAnsi="楷体_GB2312" w:eastAsia="楷体_GB2312" w:cs="楷体_GB2312"/>
          <w:b/>
          <w:bCs/>
          <w:kern w:val="44"/>
          <w:sz w:val="24"/>
          <w:szCs w:val="24"/>
        </w:rPr>
        <w:t>章报价书</w:t>
      </w:r>
      <w:r>
        <w:rPr>
          <w:rFonts w:hint="eastAsia" w:ascii="楷体_GB2312" w:hAnsi="楷体_GB2312" w:eastAsia="楷体_GB2312" w:cs="楷体_GB2312"/>
          <w:b/>
          <w:bCs/>
          <w:kern w:val="44"/>
          <w:sz w:val="24"/>
          <w:szCs w:val="24"/>
          <w:lang w:eastAsia="zh-CN"/>
        </w:rPr>
        <w:t>（</w:t>
      </w:r>
      <w:r>
        <w:rPr>
          <w:rFonts w:hint="eastAsia" w:ascii="楷体_GB2312" w:hAnsi="楷体_GB2312" w:eastAsia="楷体_GB2312" w:cs="楷体_GB2312"/>
          <w:b/>
          <w:bCs/>
          <w:kern w:val="44"/>
          <w:sz w:val="24"/>
          <w:szCs w:val="24"/>
          <w:lang w:val="en-US" w:eastAsia="zh-CN"/>
        </w:rPr>
        <w:t>格式</w:t>
      </w:r>
      <w:r>
        <w:rPr>
          <w:rFonts w:hint="eastAsia" w:ascii="楷体_GB2312" w:hAnsi="楷体_GB2312" w:eastAsia="楷体_GB2312" w:cs="楷体_GB2312"/>
          <w:b/>
          <w:bCs/>
          <w:kern w:val="44"/>
          <w:sz w:val="24"/>
          <w:szCs w:val="24"/>
          <w:lang w:eastAsia="zh-CN"/>
        </w:rPr>
        <w:t>）</w:t>
      </w:r>
    </w:p>
    <w:p>
      <w:pPr>
        <w:pStyle w:val="26"/>
        <w:spacing w:line="360" w:lineRule="auto"/>
        <w:ind w:firstLine="0" w:firstLineChars="0"/>
        <w:jc w:val="center"/>
        <w:rPr>
          <w:rFonts w:hint="eastAsia" w:ascii="楷体_GB2312" w:hAnsi="楷体_GB2312" w:eastAsia="楷体_GB2312" w:cs="楷体_GB2312"/>
          <w:b/>
          <w:bCs/>
          <w:kern w:val="44"/>
          <w:sz w:val="24"/>
          <w:szCs w:val="24"/>
          <w:lang w:eastAsia="zh-CN"/>
        </w:rPr>
      </w:pPr>
    </w:p>
    <w:p>
      <w:pPr>
        <w:pStyle w:val="26"/>
        <w:keepNext w:val="0"/>
        <w:keepLines w:val="0"/>
        <w:pageBreakBefore w:val="0"/>
        <w:numPr>
          <w:ilvl w:val="0"/>
          <w:numId w:val="2"/>
        </w:numPr>
        <w:kinsoku/>
        <w:wordWrap/>
        <w:overflowPunct/>
        <w:topLinePunct w:val="0"/>
        <w:autoSpaceDE/>
        <w:autoSpaceDN/>
        <w:bidi w:val="0"/>
        <w:adjustRightInd/>
        <w:snapToGrid/>
        <w:spacing w:line="400" w:lineRule="exact"/>
        <w:ind w:firstLine="0" w:firstLineChars="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w:t>
      </w:r>
      <w:r>
        <w:rPr>
          <w:rFonts w:hint="eastAsia" w:ascii="楷体_GB2312" w:hAnsi="楷体_GB2312" w:eastAsia="楷体_GB2312" w:cs="楷体_GB2312"/>
          <w:sz w:val="24"/>
          <w:szCs w:val="24"/>
          <w:lang w:val="en-US" w:eastAsia="zh-CN"/>
        </w:rPr>
        <w:t>报价书</w:t>
      </w:r>
      <w:r>
        <w:rPr>
          <w:rFonts w:hint="eastAsia" w:ascii="楷体_GB2312" w:hAnsi="楷体_GB2312" w:eastAsia="楷体_GB2312" w:cs="楷体_GB2312"/>
          <w:sz w:val="24"/>
          <w:szCs w:val="24"/>
        </w:rPr>
        <w:t>计价货币、结算货币和支付货币均为人民币。</w:t>
      </w:r>
    </w:p>
    <w:p>
      <w:pPr>
        <w:pStyle w:val="26"/>
        <w:keepNext w:val="0"/>
        <w:keepLines w:val="0"/>
        <w:pageBreakBefore w:val="0"/>
        <w:kinsoku/>
        <w:wordWrap/>
        <w:overflowPunct/>
        <w:topLinePunct w:val="0"/>
        <w:autoSpaceDE/>
        <w:autoSpaceDN/>
        <w:bidi w:val="0"/>
        <w:adjustRightInd/>
        <w:snapToGrid/>
        <w:spacing w:line="400" w:lineRule="exact"/>
        <w:ind w:firstLine="0" w:firstLineChars="0"/>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二、付款方式见1.3，</w:t>
      </w:r>
      <w:r>
        <w:rPr>
          <w:rFonts w:hint="eastAsia" w:ascii="楷体_GB2312" w:hAnsi="楷体_GB2312" w:eastAsia="楷体_GB2312" w:cs="楷体_GB2312"/>
          <w:sz w:val="24"/>
          <w:szCs w:val="24"/>
        </w:rPr>
        <w:t>货物</w:t>
      </w:r>
      <w:r>
        <w:rPr>
          <w:rFonts w:hint="eastAsia" w:ascii="楷体_GB2312" w:hAnsi="楷体_GB2312" w:eastAsia="楷体_GB2312" w:cs="楷体_GB2312"/>
          <w:sz w:val="24"/>
          <w:szCs w:val="24"/>
          <w:lang w:val="en-US" w:eastAsia="zh-CN"/>
        </w:rPr>
        <w:t>固定价</w:t>
      </w:r>
      <w:r>
        <w:rPr>
          <w:rFonts w:hint="eastAsia" w:ascii="楷体_GB2312" w:hAnsi="楷体_GB2312" w:eastAsia="楷体_GB2312" w:cs="楷体_GB2312"/>
          <w:sz w:val="24"/>
          <w:szCs w:val="24"/>
        </w:rPr>
        <w:t>，具体单价细目详见下表。</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金额单位：元</w:t>
      </w:r>
      <w:r>
        <w:rPr>
          <w:rFonts w:hint="eastAsia" w:ascii="楷体_GB2312" w:hAnsi="楷体_GB2312" w:eastAsia="楷体_GB2312" w:cs="楷体_GB2312"/>
          <w:sz w:val="24"/>
          <w:szCs w:val="24"/>
          <w:lang w:eastAsia="zh-CN"/>
        </w:rPr>
        <w:t>）</w:t>
      </w:r>
    </w:p>
    <w:tbl>
      <w:tblPr>
        <w:tblStyle w:val="18"/>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076"/>
        <w:gridCol w:w="1230"/>
        <w:gridCol w:w="1025"/>
        <w:gridCol w:w="636"/>
        <w:gridCol w:w="1157"/>
        <w:gridCol w:w="1296"/>
        <w:gridCol w:w="121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96" w:type="dxa"/>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076" w:type="dxa"/>
            <w:noWrap/>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区域</w:t>
            </w:r>
          </w:p>
        </w:tc>
        <w:tc>
          <w:tcPr>
            <w:tcW w:w="1230" w:type="dxa"/>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名称</w:t>
            </w:r>
          </w:p>
        </w:tc>
        <w:tc>
          <w:tcPr>
            <w:tcW w:w="1025" w:type="dxa"/>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规格型号</w:t>
            </w:r>
          </w:p>
        </w:tc>
        <w:tc>
          <w:tcPr>
            <w:tcW w:w="636" w:type="dxa"/>
            <w:noWrap w:val="0"/>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157" w:type="dxa"/>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不含税单价</w:t>
            </w:r>
          </w:p>
        </w:tc>
        <w:tc>
          <w:tcPr>
            <w:tcW w:w="1296" w:type="dxa"/>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税费</w:t>
            </w:r>
          </w:p>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（税率13%）</w:t>
            </w:r>
          </w:p>
        </w:tc>
        <w:tc>
          <w:tcPr>
            <w:tcW w:w="1212" w:type="dxa"/>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含税单价</w:t>
            </w:r>
          </w:p>
        </w:tc>
        <w:tc>
          <w:tcPr>
            <w:tcW w:w="708" w:type="dxa"/>
            <w:noWrap/>
            <w:vAlign w:val="center"/>
          </w:tcPr>
          <w:p>
            <w:pPr>
              <w:widowControl/>
              <w:spacing w:line="0" w:lineRule="atLeast"/>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6" w:type="dxa"/>
            <w:vMerge w:val="restart"/>
            <w:noWrap/>
            <w:vAlign w:val="center"/>
          </w:tcPr>
          <w:p>
            <w:pPr>
              <w:widowControl/>
              <w:spacing w:line="0" w:lineRule="atLeast"/>
              <w:jc w:val="center"/>
              <w:rPr>
                <w:rFonts w:ascii="宋体" w:hAnsi="宋体" w:cs="宋体"/>
                <w:color w:val="000000"/>
                <w:kern w:val="0"/>
                <w:sz w:val="18"/>
                <w:szCs w:val="18"/>
              </w:rPr>
            </w:pPr>
            <w:r>
              <w:rPr>
                <w:rFonts w:ascii="宋体" w:hAnsi="宋体" w:cs="宋体"/>
                <w:color w:val="000000"/>
                <w:kern w:val="0"/>
                <w:sz w:val="18"/>
                <w:szCs w:val="18"/>
              </w:rPr>
              <w:t>1</w:t>
            </w:r>
          </w:p>
        </w:tc>
        <w:tc>
          <w:tcPr>
            <w:tcW w:w="1076" w:type="dxa"/>
            <w:vMerge w:val="restart"/>
            <w:noWrap/>
            <w:vAlign w:val="center"/>
          </w:tcPr>
          <w:p>
            <w:pPr>
              <w:widowControl/>
              <w:spacing w:line="0" w:lineRule="atLeas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洋浦区域</w:t>
            </w:r>
          </w:p>
        </w:tc>
        <w:tc>
          <w:tcPr>
            <w:tcW w:w="1230" w:type="dxa"/>
            <w:noWrap/>
            <w:vAlign w:val="center"/>
          </w:tcPr>
          <w:p>
            <w:pPr>
              <w:widowControl/>
              <w:spacing w:line="0" w:lineRule="atLeas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机制砂</w:t>
            </w:r>
          </w:p>
        </w:tc>
        <w:tc>
          <w:tcPr>
            <w:tcW w:w="1025" w:type="dxa"/>
            <w:noWrap w:val="0"/>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中粗砂</w:t>
            </w:r>
          </w:p>
        </w:tc>
        <w:tc>
          <w:tcPr>
            <w:tcW w:w="636" w:type="dxa"/>
            <w:noWrap w:val="0"/>
            <w:vAlign w:val="center"/>
          </w:tcPr>
          <w:p>
            <w:pPr>
              <w:widowControl/>
              <w:spacing w:line="0" w:lineRule="atLeast"/>
              <w:jc w:val="center"/>
              <w:rPr>
                <w:rFonts w:hint="eastAsia" w:ascii="宋体" w:hAnsi="宋体" w:cs="宋体"/>
                <w:color w:val="000000"/>
                <w:kern w:val="0"/>
                <w:sz w:val="18"/>
                <w:szCs w:val="18"/>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hint="default" w:ascii="宋体" w:hAnsi="宋体" w:cs="宋体"/>
                <w:color w:val="000000"/>
                <w:kern w:val="0"/>
                <w:sz w:val="18"/>
                <w:szCs w:val="18"/>
                <w:lang w:val="en-US" w:eastAsia="zh-CN"/>
              </w:rPr>
            </w:pPr>
          </w:p>
        </w:tc>
        <w:tc>
          <w:tcPr>
            <w:tcW w:w="1296" w:type="dxa"/>
            <w:noWrap/>
            <w:vAlign w:val="center"/>
          </w:tcPr>
          <w:p>
            <w:pPr>
              <w:widowControl/>
              <w:spacing w:line="0" w:lineRule="atLeast"/>
              <w:jc w:val="center"/>
              <w:rPr>
                <w:rFonts w:hint="eastAsia" w:ascii="宋体" w:hAnsi="宋体" w:cs="宋体"/>
                <w:color w:val="000000"/>
                <w:kern w:val="0"/>
                <w:sz w:val="18"/>
                <w:szCs w:val="18"/>
              </w:rPr>
            </w:pPr>
          </w:p>
        </w:tc>
        <w:tc>
          <w:tcPr>
            <w:tcW w:w="1212" w:type="dxa"/>
            <w:noWrap/>
            <w:vAlign w:val="center"/>
          </w:tcPr>
          <w:p>
            <w:pPr>
              <w:widowControl/>
              <w:spacing w:line="0" w:lineRule="atLeast"/>
              <w:jc w:val="center"/>
              <w:rPr>
                <w:rFonts w:ascii="宋体" w:hAnsi="宋体" w:cs="宋体"/>
                <w:color w:val="000000"/>
                <w:kern w:val="0"/>
                <w:sz w:val="18"/>
                <w:szCs w:val="18"/>
              </w:rPr>
            </w:pPr>
          </w:p>
        </w:tc>
        <w:tc>
          <w:tcPr>
            <w:tcW w:w="708" w:type="dxa"/>
            <w:noWrap/>
            <w:vAlign w:val="center"/>
          </w:tcPr>
          <w:p>
            <w:pPr>
              <w:widowControl/>
              <w:spacing w:line="0" w:lineRule="atLeast"/>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6" w:type="dxa"/>
            <w:vMerge w:val="continue"/>
            <w:noWrap/>
            <w:vAlign w:val="center"/>
          </w:tcPr>
          <w:p>
            <w:pPr>
              <w:widowControl/>
              <w:spacing w:line="0" w:lineRule="atLeast"/>
              <w:jc w:val="center"/>
              <w:rPr>
                <w:rFonts w:ascii="宋体" w:hAnsi="宋体" w:cs="宋体"/>
                <w:color w:val="000000"/>
                <w:kern w:val="0"/>
                <w:sz w:val="18"/>
                <w:szCs w:val="18"/>
              </w:rPr>
            </w:pPr>
          </w:p>
        </w:tc>
        <w:tc>
          <w:tcPr>
            <w:tcW w:w="1076" w:type="dxa"/>
            <w:vMerge w:val="continue"/>
            <w:noWrap/>
            <w:vAlign w:val="center"/>
          </w:tcPr>
          <w:p>
            <w:pPr>
              <w:widowControl/>
              <w:spacing w:line="0" w:lineRule="atLeast"/>
              <w:jc w:val="center"/>
              <w:rPr>
                <w:rFonts w:hint="eastAsia" w:ascii="宋体" w:hAnsi="宋体" w:cs="宋体"/>
                <w:color w:val="000000"/>
                <w:kern w:val="0"/>
                <w:sz w:val="18"/>
                <w:szCs w:val="18"/>
                <w:lang w:val="en-US" w:eastAsia="zh-CN"/>
              </w:rPr>
            </w:pPr>
          </w:p>
        </w:tc>
        <w:tc>
          <w:tcPr>
            <w:tcW w:w="1230" w:type="dxa"/>
            <w:noWrap/>
            <w:vAlign w:val="center"/>
          </w:tcPr>
          <w:p>
            <w:pPr>
              <w:widowControl/>
              <w:spacing w:line="0" w:lineRule="atLeast"/>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级配碎石</w:t>
            </w:r>
          </w:p>
        </w:tc>
        <w:tc>
          <w:tcPr>
            <w:tcW w:w="1025" w:type="dxa"/>
            <w:noWrap w:val="0"/>
            <w:vAlign w:val="center"/>
          </w:tcPr>
          <w:p>
            <w:pPr>
              <w:widowControl/>
              <w:spacing w:line="0" w:lineRule="atLeas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636" w:type="dxa"/>
            <w:noWrap w:val="0"/>
            <w:vAlign w:val="center"/>
          </w:tcPr>
          <w:p>
            <w:pPr>
              <w:widowControl/>
              <w:spacing w:line="0" w:lineRule="atLeast"/>
              <w:jc w:val="center"/>
              <w:rPr>
                <w:rFonts w:hint="eastAsia" w:ascii="宋体" w:hAnsi="宋体" w:cs="宋体"/>
                <w:color w:val="000000"/>
                <w:kern w:val="0"/>
                <w:sz w:val="18"/>
                <w:szCs w:val="18"/>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hint="default" w:ascii="宋体" w:hAnsi="宋体" w:cs="宋体"/>
                <w:color w:val="000000"/>
                <w:kern w:val="0"/>
                <w:sz w:val="18"/>
                <w:szCs w:val="18"/>
                <w:lang w:val="en-US" w:eastAsia="zh-CN"/>
              </w:rPr>
            </w:pPr>
          </w:p>
        </w:tc>
        <w:tc>
          <w:tcPr>
            <w:tcW w:w="1296" w:type="dxa"/>
            <w:noWrap/>
            <w:vAlign w:val="center"/>
          </w:tcPr>
          <w:p>
            <w:pPr>
              <w:widowControl/>
              <w:spacing w:line="0" w:lineRule="atLeast"/>
              <w:jc w:val="center"/>
              <w:rPr>
                <w:rFonts w:hint="eastAsia" w:ascii="宋体" w:hAnsi="宋体" w:cs="宋体"/>
                <w:color w:val="000000"/>
                <w:kern w:val="0"/>
                <w:sz w:val="18"/>
                <w:szCs w:val="18"/>
              </w:rPr>
            </w:pPr>
          </w:p>
        </w:tc>
        <w:tc>
          <w:tcPr>
            <w:tcW w:w="1212" w:type="dxa"/>
            <w:noWrap/>
            <w:vAlign w:val="center"/>
          </w:tcPr>
          <w:p>
            <w:pPr>
              <w:widowControl/>
              <w:spacing w:line="0" w:lineRule="atLeast"/>
              <w:jc w:val="center"/>
              <w:rPr>
                <w:rFonts w:ascii="宋体" w:hAnsi="宋体" w:cs="宋体"/>
                <w:color w:val="000000"/>
                <w:kern w:val="0"/>
                <w:sz w:val="18"/>
                <w:szCs w:val="18"/>
              </w:rPr>
            </w:pPr>
          </w:p>
        </w:tc>
        <w:tc>
          <w:tcPr>
            <w:tcW w:w="708" w:type="dxa"/>
            <w:noWrap/>
            <w:vAlign w:val="center"/>
          </w:tcPr>
          <w:p>
            <w:pPr>
              <w:widowControl/>
              <w:spacing w:line="0" w:lineRule="atLeast"/>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96" w:type="dxa"/>
            <w:vMerge w:val="continue"/>
            <w:noWrap/>
            <w:vAlign w:val="center"/>
          </w:tcPr>
          <w:p>
            <w:pPr>
              <w:widowControl/>
              <w:spacing w:line="0" w:lineRule="atLeast"/>
              <w:jc w:val="center"/>
              <w:rPr>
                <w:rFonts w:ascii="宋体" w:hAnsi="宋体" w:cs="宋体"/>
                <w:color w:val="000000"/>
                <w:kern w:val="0"/>
                <w:sz w:val="18"/>
                <w:szCs w:val="18"/>
              </w:rPr>
            </w:pPr>
          </w:p>
        </w:tc>
        <w:tc>
          <w:tcPr>
            <w:tcW w:w="1076" w:type="dxa"/>
            <w:vMerge w:val="continue"/>
            <w:noWrap/>
            <w:vAlign w:val="center"/>
          </w:tcPr>
          <w:p>
            <w:pPr>
              <w:widowControl/>
              <w:spacing w:line="0" w:lineRule="atLeast"/>
              <w:jc w:val="center"/>
              <w:rPr>
                <w:rFonts w:hint="eastAsia" w:ascii="宋体" w:hAnsi="宋体" w:cs="宋体"/>
                <w:color w:val="000000"/>
                <w:kern w:val="0"/>
                <w:sz w:val="18"/>
                <w:szCs w:val="18"/>
                <w:lang w:val="en-US" w:eastAsia="zh-CN"/>
              </w:rPr>
            </w:pPr>
          </w:p>
        </w:tc>
        <w:tc>
          <w:tcPr>
            <w:tcW w:w="1230" w:type="dxa"/>
            <w:noWrap/>
            <w:vAlign w:val="center"/>
          </w:tcPr>
          <w:p>
            <w:pPr>
              <w:widowControl/>
              <w:spacing w:line="0" w:lineRule="atLeas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未筛分碎石</w:t>
            </w:r>
          </w:p>
        </w:tc>
        <w:tc>
          <w:tcPr>
            <w:tcW w:w="1025" w:type="dxa"/>
            <w:noWrap w:val="0"/>
            <w:vAlign w:val="center"/>
          </w:tcPr>
          <w:p>
            <w:pPr>
              <w:widowControl/>
              <w:spacing w:line="0" w:lineRule="atLeas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w:t>
            </w:r>
          </w:p>
        </w:tc>
        <w:tc>
          <w:tcPr>
            <w:tcW w:w="636" w:type="dxa"/>
            <w:noWrap w:val="0"/>
            <w:vAlign w:val="center"/>
          </w:tcPr>
          <w:p>
            <w:pPr>
              <w:widowControl/>
              <w:spacing w:line="0" w:lineRule="atLeas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hint="default" w:ascii="宋体" w:hAnsi="宋体" w:cs="宋体"/>
                <w:color w:val="000000"/>
                <w:kern w:val="0"/>
                <w:sz w:val="18"/>
                <w:szCs w:val="18"/>
                <w:lang w:val="en-US" w:eastAsia="zh-CN"/>
              </w:rPr>
            </w:pPr>
          </w:p>
        </w:tc>
        <w:tc>
          <w:tcPr>
            <w:tcW w:w="1296" w:type="dxa"/>
            <w:noWrap/>
            <w:vAlign w:val="center"/>
          </w:tcPr>
          <w:p>
            <w:pPr>
              <w:widowControl/>
              <w:spacing w:line="0" w:lineRule="atLeast"/>
              <w:jc w:val="center"/>
              <w:rPr>
                <w:rFonts w:hint="eastAsia" w:ascii="宋体" w:hAnsi="宋体" w:cs="宋体"/>
                <w:color w:val="000000"/>
                <w:kern w:val="0"/>
                <w:sz w:val="18"/>
                <w:szCs w:val="18"/>
              </w:rPr>
            </w:pPr>
          </w:p>
        </w:tc>
        <w:tc>
          <w:tcPr>
            <w:tcW w:w="1212" w:type="dxa"/>
            <w:noWrap/>
            <w:vAlign w:val="center"/>
          </w:tcPr>
          <w:p>
            <w:pPr>
              <w:widowControl/>
              <w:spacing w:line="0" w:lineRule="atLeast"/>
              <w:jc w:val="center"/>
              <w:rPr>
                <w:rFonts w:ascii="宋体" w:hAnsi="宋体" w:cs="宋体"/>
                <w:color w:val="000000"/>
                <w:kern w:val="0"/>
                <w:sz w:val="18"/>
                <w:szCs w:val="18"/>
              </w:rPr>
            </w:pPr>
          </w:p>
        </w:tc>
        <w:tc>
          <w:tcPr>
            <w:tcW w:w="708" w:type="dxa"/>
            <w:noWrap/>
            <w:vAlign w:val="center"/>
          </w:tcPr>
          <w:p>
            <w:pPr>
              <w:widowControl/>
              <w:spacing w:line="0" w:lineRule="atLeast"/>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96" w:type="dxa"/>
            <w:vMerge w:val="restart"/>
            <w:noWrap/>
            <w:vAlign w:val="center"/>
          </w:tcPr>
          <w:p>
            <w:pPr>
              <w:widowControl/>
              <w:spacing w:line="0" w:lineRule="atLeast"/>
              <w:jc w:val="center"/>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1076" w:type="dxa"/>
            <w:vMerge w:val="restart"/>
            <w:noWrap/>
            <w:vAlign w:val="center"/>
          </w:tcPr>
          <w:p>
            <w:pPr>
              <w:widowControl/>
              <w:spacing w:line="0" w:lineRule="atLeas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白马井环湾滨海新区</w:t>
            </w:r>
          </w:p>
        </w:tc>
        <w:tc>
          <w:tcPr>
            <w:tcW w:w="1230" w:type="dxa"/>
            <w:noWrap/>
            <w:vAlign w:val="center"/>
          </w:tcPr>
          <w:p>
            <w:pPr>
              <w:widowControl/>
              <w:spacing w:line="0" w:lineRule="atLeas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机制砂</w:t>
            </w:r>
          </w:p>
        </w:tc>
        <w:tc>
          <w:tcPr>
            <w:tcW w:w="1025" w:type="dxa"/>
            <w:noWrap w:val="0"/>
            <w:vAlign w:val="center"/>
          </w:tcPr>
          <w:p>
            <w:pPr>
              <w:widowControl/>
              <w:spacing w:line="0" w:lineRule="atLeast"/>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bidi="ar-SA"/>
              </w:rPr>
              <w:t>中粗砂</w:t>
            </w:r>
          </w:p>
        </w:tc>
        <w:tc>
          <w:tcPr>
            <w:tcW w:w="636" w:type="dxa"/>
            <w:noWrap w:val="0"/>
            <w:vAlign w:val="center"/>
          </w:tcPr>
          <w:p>
            <w:pPr>
              <w:widowControl/>
              <w:spacing w:line="0" w:lineRule="atLeast"/>
              <w:jc w:val="center"/>
              <w:rPr>
                <w:rFonts w:hint="eastAsia" w:ascii="宋体" w:hAnsi="宋体" w:eastAsia="宋体" w:cs="宋体"/>
                <w:color w:val="000000"/>
                <w:kern w:val="0"/>
                <w:sz w:val="18"/>
                <w:szCs w:val="18"/>
                <w:lang w:val="en-US" w:eastAsia="zh-CN" w:bidi="ar-SA"/>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ascii="宋体" w:hAnsi="宋体" w:cs="宋体"/>
                <w:color w:val="000000"/>
                <w:kern w:val="0"/>
                <w:sz w:val="18"/>
                <w:szCs w:val="18"/>
              </w:rPr>
            </w:pPr>
          </w:p>
        </w:tc>
        <w:tc>
          <w:tcPr>
            <w:tcW w:w="1296" w:type="dxa"/>
            <w:noWrap/>
            <w:vAlign w:val="center"/>
          </w:tcPr>
          <w:p>
            <w:pPr>
              <w:widowControl/>
              <w:spacing w:line="0" w:lineRule="atLeast"/>
              <w:jc w:val="center"/>
              <w:rPr>
                <w:rFonts w:ascii="宋体" w:hAnsi="宋体" w:cs="宋体"/>
                <w:color w:val="000000"/>
                <w:kern w:val="0"/>
                <w:sz w:val="18"/>
                <w:szCs w:val="18"/>
              </w:rPr>
            </w:pPr>
          </w:p>
        </w:tc>
        <w:tc>
          <w:tcPr>
            <w:tcW w:w="1212" w:type="dxa"/>
            <w:noWrap/>
            <w:vAlign w:val="center"/>
          </w:tcPr>
          <w:p>
            <w:pPr>
              <w:widowControl/>
              <w:spacing w:line="0" w:lineRule="atLeast"/>
              <w:jc w:val="center"/>
              <w:rPr>
                <w:rFonts w:ascii="宋体" w:hAnsi="宋体" w:cs="宋体"/>
                <w:color w:val="000000"/>
                <w:kern w:val="0"/>
                <w:sz w:val="18"/>
                <w:szCs w:val="18"/>
              </w:rPr>
            </w:pPr>
          </w:p>
        </w:tc>
        <w:tc>
          <w:tcPr>
            <w:tcW w:w="708" w:type="dxa"/>
            <w:noWrap/>
            <w:vAlign w:val="center"/>
          </w:tcPr>
          <w:p>
            <w:pPr>
              <w:widowControl/>
              <w:spacing w:line="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96" w:type="dxa"/>
            <w:vMerge w:val="continue"/>
            <w:noWrap/>
            <w:vAlign w:val="center"/>
          </w:tcPr>
          <w:p>
            <w:pPr>
              <w:widowControl/>
              <w:spacing w:line="0" w:lineRule="atLeast"/>
              <w:jc w:val="center"/>
              <w:rPr>
                <w:rFonts w:hint="eastAsia" w:ascii="宋体" w:hAnsi="宋体" w:cs="宋体"/>
                <w:color w:val="000000"/>
                <w:kern w:val="0"/>
                <w:sz w:val="18"/>
                <w:szCs w:val="18"/>
                <w:lang w:val="en-US" w:eastAsia="zh-CN"/>
              </w:rPr>
            </w:pPr>
          </w:p>
        </w:tc>
        <w:tc>
          <w:tcPr>
            <w:tcW w:w="1076" w:type="dxa"/>
            <w:vMerge w:val="continue"/>
            <w:noWrap/>
            <w:vAlign w:val="center"/>
          </w:tcPr>
          <w:p>
            <w:pPr>
              <w:widowControl/>
              <w:spacing w:line="0" w:lineRule="atLeast"/>
              <w:jc w:val="center"/>
              <w:rPr>
                <w:rFonts w:hint="eastAsia" w:ascii="宋体" w:hAnsi="宋体" w:cs="宋体"/>
                <w:color w:val="000000"/>
                <w:kern w:val="0"/>
                <w:sz w:val="18"/>
                <w:szCs w:val="18"/>
              </w:rPr>
            </w:pPr>
          </w:p>
        </w:tc>
        <w:tc>
          <w:tcPr>
            <w:tcW w:w="1230" w:type="dxa"/>
            <w:noWrap/>
            <w:vAlign w:val="center"/>
          </w:tcPr>
          <w:p>
            <w:pPr>
              <w:widowControl/>
              <w:spacing w:line="0" w:lineRule="atLeas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级配碎石</w:t>
            </w:r>
          </w:p>
        </w:tc>
        <w:tc>
          <w:tcPr>
            <w:tcW w:w="1025" w:type="dxa"/>
            <w:noWrap w:val="0"/>
            <w:vAlign w:val="center"/>
          </w:tcPr>
          <w:p>
            <w:pPr>
              <w:widowControl/>
              <w:spacing w:line="0" w:lineRule="atLeas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w:t>
            </w:r>
          </w:p>
        </w:tc>
        <w:tc>
          <w:tcPr>
            <w:tcW w:w="636" w:type="dxa"/>
            <w:noWrap w:val="0"/>
            <w:vAlign w:val="center"/>
          </w:tcPr>
          <w:p>
            <w:pPr>
              <w:widowControl/>
              <w:spacing w:line="0" w:lineRule="atLeast"/>
              <w:jc w:val="center"/>
              <w:rPr>
                <w:rFonts w:hint="eastAsia" w:ascii="宋体" w:hAnsi="宋体" w:eastAsia="宋体" w:cs="宋体"/>
                <w:color w:val="000000"/>
                <w:kern w:val="0"/>
                <w:sz w:val="18"/>
                <w:szCs w:val="18"/>
                <w:lang w:val="en-US" w:eastAsia="zh-CN" w:bidi="ar-SA"/>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ascii="宋体" w:hAnsi="宋体" w:cs="宋体"/>
                <w:color w:val="000000"/>
                <w:kern w:val="0"/>
                <w:sz w:val="18"/>
                <w:szCs w:val="18"/>
              </w:rPr>
            </w:pPr>
          </w:p>
        </w:tc>
        <w:tc>
          <w:tcPr>
            <w:tcW w:w="1296" w:type="dxa"/>
            <w:noWrap/>
            <w:vAlign w:val="center"/>
          </w:tcPr>
          <w:p>
            <w:pPr>
              <w:widowControl/>
              <w:spacing w:line="0" w:lineRule="atLeast"/>
              <w:jc w:val="center"/>
              <w:rPr>
                <w:rFonts w:ascii="宋体" w:hAnsi="宋体" w:cs="宋体"/>
                <w:color w:val="000000"/>
                <w:kern w:val="0"/>
                <w:sz w:val="18"/>
                <w:szCs w:val="18"/>
              </w:rPr>
            </w:pPr>
          </w:p>
        </w:tc>
        <w:tc>
          <w:tcPr>
            <w:tcW w:w="1212" w:type="dxa"/>
            <w:noWrap/>
            <w:vAlign w:val="center"/>
          </w:tcPr>
          <w:p>
            <w:pPr>
              <w:widowControl/>
              <w:spacing w:line="0" w:lineRule="atLeast"/>
              <w:jc w:val="center"/>
              <w:rPr>
                <w:rFonts w:ascii="宋体" w:hAnsi="宋体" w:cs="宋体"/>
                <w:color w:val="000000"/>
                <w:kern w:val="0"/>
                <w:sz w:val="18"/>
                <w:szCs w:val="18"/>
              </w:rPr>
            </w:pPr>
          </w:p>
        </w:tc>
        <w:tc>
          <w:tcPr>
            <w:tcW w:w="708" w:type="dxa"/>
            <w:noWrap/>
            <w:vAlign w:val="center"/>
          </w:tcPr>
          <w:p>
            <w:pPr>
              <w:widowControl/>
              <w:spacing w:line="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96" w:type="dxa"/>
            <w:vMerge w:val="continue"/>
            <w:noWrap/>
            <w:vAlign w:val="center"/>
          </w:tcPr>
          <w:p>
            <w:pPr>
              <w:widowControl/>
              <w:spacing w:line="0" w:lineRule="atLeast"/>
              <w:jc w:val="center"/>
              <w:rPr>
                <w:rFonts w:hint="eastAsia" w:ascii="宋体" w:hAnsi="宋体" w:cs="宋体"/>
                <w:color w:val="000000"/>
                <w:kern w:val="0"/>
                <w:sz w:val="18"/>
                <w:szCs w:val="18"/>
                <w:lang w:val="en-US" w:eastAsia="zh-CN"/>
              </w:rPr>
            </w:pPr>
          </w:p>
        </w:tc>
        <w:tc>
          <w:tcPr>
            <w:tcW w:w="1076" w:type="dxa"/>
            <w:vMerge w:val="continue"/>
            <w:noWrap/>
            <w:vAlign w:val="center"/>
          </w:tcPr>
          <w:p>
            <w:pPr>
              <w:widowControl/>
              <w:spacing w:line="0" w:lineRule="atLeast"/>
              <w:jc w:val="center"/>
              <w:rPr>
                <w:rFonts w:hint="eastAsia" w:ascii="宋体" w:hAnsi="宋体" w:cs="宋体"/>
                <w:color w:val="000000"/>
                <w:kern w:val="0"/>
                <w:sz w:val="18"/>
                <w:szCs w:val="18"/>
              </w:rPr>
            </w:pPr>
          </w:p>
        </w:tc>
        <w:tc>
          <w:tcPr>
            <w:tcW w:w="1230" w:type="dxa"/>
            <w:noWrap/>
            <w:vAlign w:val="center"/>
          </w:tcPr>
          <w:p>
            <w:pPr>
              <w:widowControl/>
              <w:spacing w:line="0" w:lineRule="atLeas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未筛分碎石</w:t>
            </w:r>
          </w:p>
        </w:tc>
        <w:tc>
          <w:tcPr>
            <w:tcW w:w="1025" w:type="dxa"/>
            <w:noWrap w:val="0"/>
            <w:vAlign w:val="center"/>
          </w:tcPr>
          <w:p>
            <w:pPr>
              <w:widowControl/>
              <w:spacing w:line="0" w:lineRule="atLeas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w:t>
            </w:r>
          </w:p>
        </w:tc>
        <w:tc>
          <w:tcPr>
            <w:tcW w:w="636" w:type="dxa"/>
            <w:noWrap w:val="0"/>
            <w:vAlign w:val="center"/>
          </w:tcPr>
          <w:p>
            <w:pPr>
              <w:widowControl/>
              <w:spacing w:line="0" w:lineRule="atLeas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m³</w:t>
            </w:r>
          </w:p>
        </w:tc>
        <w:tc>
          <w:tcPr>
            <w:tcW w:w="1157" w:type="dxa"/>
            <w:noWrap/>
            <w:vAlign w:val="center"/>
          </w:tcPr>
          <w:p>
            <w:pPr>
              <w:widowControl/>
              <w:spacing w:line="0" w:lineRule="atLeast"/>
              <w:jc w:val="center"/>
              <w:rPr>
                <w:rFonts w:ascii="宋体" w:hAnsi="宋体" w:cs="宋体"/>
                <w:color w:val="000000"/>
                <w:kern w:val="0"/>
                <w:sz w:val="18"/>
                <w:szCs w:val="18"/>
              </w:rPr>
            </w:pPr>
          </w:p>
        </w:tc>
        <w:tc>
          <w:tcPr>
            <w:tcW w:w="1296" w:type="dxa"/>
            <w:noWrap/>
            <w:vAlign w:val="center"/>
          </w:tcPr>
          <w:p>
            <w:pPr>
              <w:widowControl/>
              <w:spacing w:line="0" w:lineRule="atLeast"/>
              <w:jc w:val="center"/>
              <w:rPr>
                <w:rFonts w:ascii="宋体" w:hAnsi="宋体" w:cs="宋体"/>
                <w:color w:val="000000"/>
                <w:kern w:val="0"/>
                <w:sz w:val="18"/>
                <w:szCs w:val="18"/>
              </w:rPr>
            </w:pPr>
          </w:p>
        </w:tc>
        <w:tc>
          <w:tcPr>
            <w:tcW w:w="1212" w:type="dxa"/>
            <w:noWrap/>
            <w:vAlign w:val="center"/>
          </w:tcPr>
          <w:p>
            <w:pPr>
              <w:widowControl/>
              <w:spacing w:line="0" w:lineRule="atLeast"/>
              <w:jc w:val="center"/>
              <w:rPr>
                <w:rFonts w:ascii="宋体" w:hAnsi="宋体" w:cs="宋体"/>
                <w:color w:val="000000"/>
                <w:kern w:val="0"/>
                <w:sz w:val="18"/>
                <w:szCs w:val="18"/>
              </w:rPr>
            </w:pPr>
          </w:p>
        </w:tc>
        <w:tc>
          <w:tcPr>
            <w:tcW w:w="708" w:type="dxa"/>
            <w:noWrap/>
            <w:vAlign w:val="center"/>
          </w:tcPr>
          <w:p>
            <w:pPr>
              <w:widowControl/>
              <w:spacing w:line="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736" w:type="dxa"/>
            <w:gridSpan w:val="9"/>
            <w:noWrap/>
            <w:vAlign w:val="center"/>
          </w:tcPr>
          <w:p>
            <w:pPr>
              <w:widowControl/>
              <w:spacing w:line="0" w:lineRule="atLeast"/>
              <w:jc w:val="left"/>
              <w:rPr>
                <w:rFonts w:hint="eastAsia" w:ascii="宋体" w:hAnsi="宋体" w:cs="宋体"/>
                <w:color w:val="000000"/>
                <w:kern w:val="0"/>
                <w:sz w:val="18"/>
                <w:szCs w:val="18"/>
              </w:rPr>
            </w:pPr>
            <w:r>
              <w:rPr>
                <w:rFonts w:hint="eastAsia" w:ascii="宋体" w:hAnsi="宋体" w:cs="宋体"/>
                <w:color w:val="000000"/>
                <w:kern w:val="0"/>
                <w:sz w:val="18"/>
                <w:szCs w:val="18"/>
              </w:rPr>
              <w:t>注：1、具体以到场实际合格物资数量为准办理结算；卖方不得以本表价款与买方发生任何经济与法律纠纷，否则视为卖方违约。</w:t>
            </w:r>
          </w:p>
          <w:p>
            <w:pPr>
              <w:widowControl/>
              <w:spacing w:line="0" w:lineRule="atLeast"/>
              <w:jc w:val="left"/>
              <w:rPr>
                <w:rFonts w:hint="eastAsia" w:ascii="宋体" w:hAnsi="宋体" w:cs="宋体"/>
                <w:color w:val="000000"/>
                <w:kern w:val="0"/>
                <w:sz w:val="18"/>
                <w:szCs w:val="18"/>
              </w:rPr>
            </w:pP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1.1本报价是含税到场综合价，包含货物价款、供应商出售该物资应缴纳税金及一切税费、包装费、保险费、运输费、装卸车费，以及其他运抵至甲方指定交货地点的一切费用；包括售后服务以及市场价格涨幅等的各类风险费用；以及其他所有相关服务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1.2计量方式：若现场有地磅，则过磅计量；不具备过磅条件的，以量方计量，出场磅单复核。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lang w:val="en-US" w:eastAsia="zh-CN"/>
        </w:rPr>
      </w:pPr>
      <w:r>
        <w:rPr>
          <w:rFonts w:hint="eastAsia" w:ascii="楷体_GB2312" w:hAnsi="楷体_GB2312" w:eastAsia="楷体_GB2312" w:cs="楷体_GB2312"/>
          <w:sz w:val="24"/>
          <w:szCs w:val="24"/>
          <w:lang w:val="en-US" w:eastAsia="zh-CN"/>
        </w:rPr>
        <w:t>1.3结算方式：月结，上月20日至本月19日为一个结算周期，结算周期结束后5日内双方就供应合格物资对账办理结算；对账结算完毕，乙方提交对应金额的增值税专用发票，甲方收到发票后15个工作日内以包括但不限于银行转账、银行承兑汇票支付当月结算物资价款的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附件一：</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092" w:firstLineChars="700"/>
        <w:jc w:val="both"/>
        <w:textAlignment w:val="auto"/>
        <w:rPr>
          <w:rFonts w:hint="eastAsia" w:ascii="楷体" w:hAnsi="楷体" w:eastAsia="楷体" w:cs="楷体"/>
          <w:sz w:val="24"/>
          <w:szCs w:val="24"/>
        </w:rPr>
      </w:pPr>
      <w:r>
        <w:rPr>
          <w:rFonts w:hint="eastAsia" w:ascii="仿宋" w:hAnsi="仿宋" w:eastAsia="仿宋" w:cs="Times New Roman"/>
          <w:b/>
          <w:bCs/>
          <w:kern w:val="2"/>
          <w:sz w:val="44"/>
          <w:szCs w:val="44"/>
          <w:lang w:val="en-US" w:eastAsia="zh-CN" w:bidi="ar-SA"/>
        </w:rPr>
        <w:t>报价承诺函</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line="240" w:lineRule="auto"/>
        <w:jc w:val="both"/>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海南洋浦陆海国际贸易有限公司：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 xml:space="preserve">    我单位对贵单位所发的</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文件所有条款予以确认，并进一步承诺如下：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1、我单位所报的单价，已充分考虑了</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文件及采购合同要求</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单位应承担的所有义务及风险，由此造成或可能造成的费用我方已包含在报价中。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，除非贵单位要求，我单位将不主动要求调整采购合同条款。否则，贵单位可以随时取消我单位的</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4、我单位的《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承诺函》，将作为合同的组成部分。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5、若我单位没有</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，我单位将不要求贵方做任何解释。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，我单位同意本确认函及所有文件作为合同的组成部分，与供货合同具有同样的法律效力。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、我单位将严格按照</w:t>
      </w:r>
      <w:r>
        <w:rPr>
          <w:rFonts w:hint="eastAsia" w:ascii="楷体" w:hAnsi="楷体" w:eastAsia="楷体" w:cs="楷体"/>
          <w:bCs/>
          <w:sz w:val="24"/>
          <w:szCs w:val="24"/>
          <w:highlight w:val="none"/>
          <w:lang w:eastAsia="zh-CN"/>
        </w:rPr>
        <w:t>贵单位</w:t>
      </w:r>
      <w:r>
        <w:rPr>
          <w:rFonts w:hint="eastAsia" w:ascii="楷体" w:hAnsi="楷体" w:eastAsia="楷体" w:cs="楷体"/>
          <w:bCs/>
          <w:sz w:val="24"/>
          <w:szCs w:val="24"/>
          <w:highlight w:val="none"/>
        </w:rPr>
        <w:t>的要求提供工程所需材料</w:t>
      </w:r>
      <w:r>
        <w:rPr>
          <w:rFonts w:hint="eastAsia" w:ascii="楷体" w:hAnsi="楷体" w:eastAsia="楷体" w:cs="楷体"/>
          <w:bCs/>
          <w:sz w:val="24"/>
          <w:szCs w:val="24"/>
          <w:highlight w:val="none"/>
          <w:lang w:eastAsia="zh-CN"/>
        </w:rPr>
        <w:t>及品牌要求</w:t>
      </w:r>
      <w:r>
        <w:rPr>
          <w:rFonts w:hint="eastAsia" w:ascii="楷体" w:hAnsi="楷体" w:eastAsia="楷体" w:cs="楷体"/>
          <w:bCs/>
          <w:sz w:val="24"/>
          <w:szCs w:val="24"/>
          <w:highlight w:val="none"/>
        </w:rPr>
        <w:t>，在供货过程中</w:t>
      </w:r>
      <w:r>
        <w:rPr>
          <w:rFonts w:hint="eastAsia" w:ascii="楷体" w:hAnsi="楷体" w:eastAsia="楷体" w:cs="楷体"/>
          <w:bCs/>
          <w:sz w:val="24"/>
          <w:szCs w:val="24"/>
          <w:highlight w:val="none"/>
          <w:lang w:eastAsia="zh-CN"/>
        </w:rPr>
        <w:t>确保材料复试检测合格，如</w:t>
      </w:r>
      <w:r>
        <w:rPr>
          <w:rFonts w:hint="eastAsia" w:ascii="楷体" w:hAnsi="楷体" w:eastAsia="楷体" w:cs="楷体"/>
          <w:bCs/>
          <w:sz w:val="24"/>
          <w:szCs w:val="24"/>
          <w:highlight w:val="none"/>
        </w:rPr>
        <w:t>出现质量问题我单位将及时调换合格材料进场，如因材料质量问题而造成工期延误，我单位承诺接受</w:t>
      </w:r>
      <w:r>
        <w:rPr>
          <w:rFonts w:hint="eastAsia" w:ascii="楷体" w:hAnsi="楷体" w:eastAsia="楷体" w:cs="楷体"/>
          <w:bCs/>
          <w:sz w:val="24"/>
          <w:szCs w:val="24"/>
          <w:highlight w:val="none"/>
          <w:lang w:val="en-US" w:eastAsia="zh-CN"/>
        </w:rPr>
        <w:t>按照合同违约条款进行处罚</w:t>
      </w:r>
      <w:r>
        <w:rPr>
          <w:rFonts w:hint="eastAsia" w:ascii="楷体" w:hAnsi="楷体" w:eastAsia="楷体" w:cs="楷体"/>
          <w:bCs/>
          <w:sz w:val="24"/>
          <w:szCs w:val="24"/>
          <w:highlight w:val="none"/>
        </w:rPr>
        <w:t>，在供货过程中保证供应材料为</w:t>
      </w:r>
      <w:r>
        <w:rPr>
          <w:rFonts w:hint="eastAsia" w:ascii="楷体" w:hAnsi="楷体" w:eastAsia="楷体" w:cs="楷体"/>
          <w:bCs/>
          <w:sz w:val="24"/>
          <w:szCs w:val="24"/>
          <w:highlight w:val="none"/>
          <w:lang w:eastAsia="zh-CN"/>
        </w:rPr>
        <w:t>询比价</w:t>
      </w:r>
      <w:r>
        <w:rPr>
          <w:rFonts w:hint="eastAsia" w:ascii="楷体" w:hAnsi="楷体" w:eastAsia="楷体" w:cs="楷体"/>
          <w:bCs/>
          <w:sz w:val="24"/>
          <w:szCs w:val="24"/>
          <w:highlight w:val="none"/>
        </w:rPr>
        <w:t>文件中要求的厂家生产的合格材料，各类质量资料随货同行，并保证各类质量资料真实有效。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bCs/>
          <w:sz w:val="24"/>
          <w:szCs w:val="24"/>
          <w:highlight w:val="none"/>
          <w:lang w:val="en-US" w:eastAsia="zh-CN"/>
        </w:rPr>
        <w:t>按照合同违约条款进行处罚。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9</w:t>
      </w:r>
      <w:r>
        <w:rPr>
          <w:rFonts w:hint="eastAsia" w:ascii="楷体" w:hAnsi="楷体" w:eastAsia="楷体" w:cs="楷体"/>
          <w:bCs/>
          <w:sz w:val="24"/>
          <w:szCs w:val="24"/>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0</w:t>
      </w:r>
      <w:r>
        <w:rPr>
          <w:rFonts w:hint="eastAsia" w:ascii="楷体" w:hAnsi="楷体" w:eastAsia="楷体" w:cs="楷体"/>
          <w:bCs/>
          <w:sz w:val="24"/>
          <w:szCs w:val="24"/>
        </w:rPr>
        <w:t>、我单位郑重承诺：我单位对</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单位提供的</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文件及合同条款完全接受和遵守。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1</w:t>
      </w:r>
      <w:r>
        <w:rPr>
          <w:rFonts w:hint="eastAsia" w:ascii="楷体" w:hAnsi="楷体" w:eastAsia="楷体" w:cs="楷体"/>
          <w:bCs/>
          <w:sz w:val="24"/>
          <w:szCs w:val="24"/>
        </w:rPr>
        <w:t>、我单位承诺同意按照贵单位要求办理结算及支付方式；承诺按所提供本单位银行开户许可证的开户行名称及帐号接收结算款，保证不使用委托收款。</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单位：（章）</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楷体" w:hAnsi="楷体" w:eastAsia="楷体" w:cs="楷体"/>
          <w:bCs/>
          <w:sz w:val="24"/>
          <w:szCs w:val="24"/>
        </w:rPr>
      </w:pPr>
      <w:r>
        <w:rPr>
          <w:rFonts w:hint="eastAsia" w:ascii="楷体" w:hAnsi="楷体" w:eastAsia="楷体" w:cs="楷体"/>
          <w:bCs/>
          <w:sz w:val="24"/>
          <w:szCs w:val="24"/>
        </w:rPr>
        <w:t>法人代表：（章）</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rPr>
      </w:pPr>
      <w:r>
        <w:rPr>
          <w:rFonts w:hint="eastAsia" w:ascii="楷体" w:hAnsi="楷体" w:eastAsia="楷体" w:cs="楷体"/>
          <w:bCs/>
          <w:sz w:val="24"/>
          <w:szCs w:val="24"/>
        </w:rPr>
        <w:t>日    期：</w:t>
      </w:r>
    </w:p>
    <w:p>
      <w:pPr>
        <w:rPr>
          <w:rFonts w:hint="eastAsia" w:ascii="楷体" w:hAnsi="楷体" w:eastAsia="楷体" w:cs="楷体"/>
        </w:rPr>
      </w:pPr>
    </w:p>
    <w:p>
      <w:pPr>
        <w:pStyle w:val="3"/>
        <w:numPr>
          <w:ilvl w:val="0"/>
          <w:numId w:val="0"/>
        </w:numPr>
        <w:spacing w:before="0" w:line="240" w:lineRule="auto"/>
        <w:ind w:leftChars="0"/>
        <w:jc w:val="both"/>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附件二：</w:t>
      </w:r>
    </w:p>
    <w:p>
      <w:pPr>
        <w:pStyle w:val="3"/>
        <w:numPr>
          <w:ilvl w:val="0"/>
          <w:numId w:val="0"/>
        </w:numPr>
        <w:spacing w:before="0" w:line="240" w:lineRule="auto"/>
        <w:ind w:leftChars="0"/>
        <w:jc w:val="center"/>
        <w:rPr>
          <w:rFonts w:hint="eastAsia" w:ascii="楷体" w:hAnsi="楷体" w:eastAsia="楷体" w:cs="楷体"/>
          <w:sz w:val="24"/>
          <w:szCs w:val="24"/>
        </w:rPr>
      </w:pPr>
      <w:r>
        <w:rPr>
          <w:rFonts w:hint="eastAsia" w:ascii="楷体" w:hAnsi="楷体" w:eastAsia="楷体" w:cs="楷体"/>
          <w:sz w:val="24"/>
          <w:szCs w:val="24"/>
        </w:rPr>
        <w:t>法定代表人授权书</w:t>
      </w:r>
    </w:p>
    <w:p>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海南洋浦陆海国际贸易有限公司</w:t>
      </w:r>
    </w:p>
    <w:p>
      <w:pPr>
        <w:snapToGrid w:val="0"/>
        <w:spacing w:line="48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砂石</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pPr>
        <w:snapToGrid w:val="0"/>
        <w:spacing w:line="480" w:lineRule="auto"/>
        <w:ind w:firstLine="584"/>
        <w:jc w:val="left"/>
        <w:rPr>
          <w:rFonts w:hint="eastAsia" w:ascii="楷体" w:hAnsi="楷体" w:eastAsia="楷体" w:cs="楷体"/>
          <w:sz w:val="24"/>
          <w:szCs w:val="24"/>
        </w:rPr>
      </w:pPr>
    </w:p>
    <w:p>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pPr>
        <w:spacing w:line="480" w:lineRule="auto"/>
        <w:ind w:firstLine="616" w:firstLineChars="257"/>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p>
    <w:p>
      <w:pPr>
        <w:snapToGrid w:val="0"/>
        <w:spacing w:line="480" w:lineRule="auto"/>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lang w:eastAsia="zh-CN"/>
        </w:rPr>
        <w:t>：</w:t>
      </w:r>
    </w:p>
    <w:p>
      <w:pPr>
        <w:snapToGrid w:val="0"/>
        <w:spacing w:line="480" w:lineRule="auto"/>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被授权人(签字)</w:t>
      </w:r>
      <w:r>
        <w:rPr>
          <w:rFonts w:hint="eastAsia" w:ascii="楷体" w:hAnsi="楷体" w:eastAsia="楷体" w:cs="楷体"/>
          <w:sz w:val="24"/>
          <w:szCs w:val="24"/>
          <w:lang w:val="en-US" w:eastAsia="zh-CN"/>
        </w:rPr>
        <w:t>：</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授权单位名称（盖章）</w:t>
      </w:r>
    </w:p>
    <w:p>
      <w:pPr>
        <w:snapToGrid w:val="0"/>
        <w:spacing w:line="48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联系电话</w:t>
      </w:r>
      <w:r>
        <w:rPr>
          <w:rFonts w:hint="eastAsia" w:ascii="楷体" w:hAnsi="楷体" w:eastAsia="楷体" w:cs="楷体"/>
          <w:sz w:val="24"/>
          <w:szCs w:val="24"/>
          <w:lang w:eastAsia="zh-CN"/>
        </w:rPr>
        <w:t>：</w:t>
      </w:r>
    </w:p>
    <w:p>
      <w:pPr>
        <w:pStyle w:val="5"/>
        <w:ind w:firstLine="0"/>
        <w:rPr>
          <w:rFonts w:hint="eastAsi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jc w:val="left"/>
        <w:textAlignment w:val="auto"/>
        <w:rPr>
          <w:rFonts w:hint="eastAsia" w:ascii="楷体" w:hAnsi="楷体" w:eastAsia="楷体" w:cs="楷体"/>
          <w:lang w:val="en-US" w:eastAsia="zh-CN"/>
        </w:rPr>
      </w:pPr>
    </w:p>
    <w:p>
      <w:pPr>
        <w:rPr>
          <w:rFonts w:hint="eastAsia"/>
          <w:lang w:val="en-US"/>
        </w:rPr>
      </w:pPr>
    </w:p>
    <w:p>
      <w:pPr>
        <w:rPr>
          <w:rFonts w:hint="eastAsia"/>
          <w:lang w:val="en-US"/>
        </w:rPr>
      </w:pPr>
    </w:p>
    <w:p>
      <w:pPr>
        <w:rPr>
          <w:rFonts w:hint="eastAsia"/>
          <w:lang w:val="en-US"/>
        </w:rPr>
      </w:pP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sz w:val="24"/>
          <w:szCs w:val="24"/>
          <w:lang w:val="en-US" w:eastAsia="zh-CN"/>
        </w:rPr>
      </w:pPr>
      <w:r>
        <w:rPr>
          <w:rFonts w:hint="eastAsia" w:ascii="楷体" w:hAnsi="楷体" w:eastAsia="楷体" w:cs="楷体"/>
          <w:b/>
          <w:bCs/>
          <w:kern w:val="2"/>
          <w:sz w:val="24"/>
          <w:szCs w:val="24"/>
          <w:lang w:val="en-US" w:eastAsia="zh-CN" w:bidi="ar-SA"/>
        </w:rPr>
        <w:t>附件三：</w:t>
      </w:r>
      <w:r>
        <w:rPr>
          <w:rFonts w:hint="eastAsia" w:ascii="楷体" w:hAnsi="楷体" w:eastAsia="楷体" w:cs="楷体"/>
          <w:b/>
          <w:bCs w:val="0"/>
          <w:sz w:val="24"/>
          <w:szCs w:val="24"/>
          <w:lang w:val="en-US" w:eastAsia="zh-CN"/>
        </w:rPr>
        <w:t>无重大违法记录声明函</w:t>
      </w:r>
      <w:r>
        <w:rPr>
          <w:rFonts w:hint="eastAsia" w:ascii="楷体" w:hAnsi="楷体" w:eastAsia="楷体" w:cs="楷体"/>
          <w:b/>
          <w:bCs w:val="0"/>
          <w:sz w:val="24"/>
          <w:szCs w:val="24"/>
          <w:lang w:val="en-US" w:eastAsia="zh-CN"/>
        </w:rPr>
        <w:br w:type="textWrapping"/>
      </w:r>
    </w:p>
    <w:p>
      <w:pPr>
        <w:pStyle w:val="26"/>
        <w:spacing w:line="360" w:lineRule="auto"/>
        <w:ind w:firstLine="0" w:firstLineChars="0"/>
        <w:jc w:val="center"/>
        <w:rPr>
          <w:rFonts w:hint="eastAsia" w:ascii="仿宋" w:hAnsi="仿宋" w:eastAsia="仿宋"/>
          <w:b/>
          <w:bCs/>
          <w:sz w:val="24"/>
          <w:szCs w:val="24"/>
        </w:rPr>
      </w:pPr>
      <w:r>
        <w:rPr>
          <w:rFonts w:hint="eastAsia" w:ascii="仿宋" w:hAnsi="仿宋" w:eastAsia="仿宋"/>
          <w:b/>
          <w:bCs/>
          <w:sz w:val="24"/>
          <w:szCs w:val="24"/>
        </w:rPr>
        <w:t>无重大违法记录声明函</w:t>
      </w:r>
    </w:p>
    <w:p>
      <w:pPr>
        <w:pStyle w:val="26"/>
        <w:spacing w:line="360" w:lineRule="auto"/>
        <w:ind w:firstLine="480"/>
        <w:jc w:val="left"/>
        <w:rPr>
          <w:rFonts w:hint="eastAsia" w:ascii="楷体" w:hAnsi="楷体" w:eastAsia="楷体" w:cs="楷体"/>
          <w:sz w:val="24"/>
          <w:szCs w:val="24"/>
        </w:rPr>
      </w:pPr>
      <w:r>
        <w:rPr>
          <w:rFonts w:hint="eastAsia" w:ascii="楷体" w:hAnsi="楷体" w:eastAsia="楷体" w:cs="楷体"/>
          <w:sz w:val="24"/>
          <w:szCs w:val="24"/>
        </w:rPr>
        <w:t>近三年内参加过的政府采购和招投标活动中没有重大违法记录（提供声明函（格式自拟），供应商注册成立时间不足三年的，从注册时间起算），以下为格式参考：</w:t>
      </w:r>
    </w:p>
    <w:p>
      <w:pPr>
        <w:pStyle w:val="26"/>
        <w:spacing w:line="360" w:lineRule="auto"/>
        <w:ind w:firstLine="480"/>
        <w:jc w:val="left"/>
        <w:rPr>
          <w:rFonts w:hint="eastAsia" w:ascii="仿宋" w:hAnsi="仿宋" w:eastAsia="仿宋"/>
          <w:sz w:val="24"/>
          <w:szCs w:val="24"/>
        </w:rPr>
      </w:pPr>
      <w:r>
        <w:rPr>
          <w:rFonts w:hint="eastAsia" w:ascii="仿宋" w:hAnsi="仿宋" w:eastAsia="仿宋"/>
          <w:sz w:val="24"/>
          <w:szCs w:val="24"/>
        </w:rPr>
        <w:t xml:space="preserve"> </w:t>
      </w:r>
    </w:p>
    <w:p>
      <w:pPr>
        <w:pStyle w:val="26"/>
        <w:spacing w:line="360" w:lineRule="auto"/>
        <w:ind w:firstLine="0" w:firstLineChars="0"/>
        <w:jc w:val="center"/>
        <w:rPr>
          <w:rFonts w:hint="eastAsia" w:ascii="楷体" w:hAnsi="楷体" w:eastAsia="楷体" w:cs="楷体"/>
          <w:b/>
          <w:bCs/>
          <w:kern w:val="44"/>
          <w:sz w:val="32"/>
          <w:szCs w:val="32"/>
        </w:rPr>
      </w:pPr>
      <w:r>
        <w:rPr>
          <w:rFonts w:hint="eastAsia" w:ascii="楷体" w:hAnsi="楷体" w:eastAsia="楷体" w:cs="楷体"/>
          <w:b/>
          <w:bCs/>
          <w:kern w:val="44"/>
          <w:sz w:val="32"/>
          <w:szCs w:val="32"/>
        </w:rPr>
        <w:t>声明函</w:t>
      </w:r>
    </w:p>
    <w:p>
      <w:pPr>
        <w:pStyle w:val="26"/>
        <w:spacing w:line="360" w:lineRule="auto"/>
        <w:ind w:firstLine="0" w:firstLineChars="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海南洋浦陆海国际贸易有限公司 ：</w:t>
      </w:r>
    </w:p>
    <w:p>
      <w:pPr>
        <w:pStyle w:val="26"/>
        <w:spacing w:line="360" w:lineRule="auto"/>
        <w:ind w:firstLine="48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pPr>
        <w:pStyle w:val="26"/>
        <w:spacing w:line="360" w:lineRule="auto"/>
        <w:ind w:firstLine="480"/>
        <w:jc w:val="lef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附：未被列入中国执行信息公开网（http://zxgk.court.gov.cn/）的“失信被执行人”名单和国家企业信用信息公示系统“严重违法失信名单（黑名单）”的查询结果网页截图并加盖单位公章）。</w:t>
      </w:r>
    </w:p>
    <w:p>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35"/>
        <w:spacing w:line="360" w:lineRule="auto"/>
        <w:ind w:firstLine="1200" w:firstLineChars="500"/>
        <w:jc w:val="center"/>
        <w:rPr>
          <w:rFonts w:hint="eastAsia" w:ascii="楷体" w:hAnsi="楷体" w:eastAsia="楷体" w:cs="楷体"/>
          <w:kern w:val="2"/>
          <w:sz w:val="24"/>
          <w:szCs w:val="24"/>
          <w:lang w:val="en-US" w:eastAsia="zh-CN" w:bidi="ar-SA"/>
        </w:rPr>
      </w:pPr>
      <w:r>
        <w:rPr>
          <w:rFonts w:hint="eastAsia" w:ascii="仿宋" w:hAnsi="仿宋" w:eastAsia="仿宋"/>
          <w:sz w:val="24"/>
          <w:szCs w:val="24"/>
        </w:rPr>
        <w:t xml:space="preserve">                        </w:t>
      </w:r>
      <w:r>
        <w:rPr>
          <w:rFonts w:hint="eastAsia" w:ascii="楷体" w:hAnsi="楷体" w:eastAsia="楷体" w:cs="楷体"/>
          <w:kern w:val="2"/>
          <w:sz w:val="24"/>
          <w:szCs w:val="24"/>
          <w:lang w:val="en-US" w:eastAsia="zh-CN" w:bidi="ar-SA"/>
        </w:rPr>
        <w:t>供应商：</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（盖单位章）</w:t>
      </w:r>
    </w:p>
    <w:p>
      <w:pPr>
        <w:pStyle w:val="35"/>
        <w:spacing w:line="360" w:lineRule="auto"/>
        <w:ind w:firstLine="1200" w:firstLineChars="500"/>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pStyle w:val="35"/>
        <w:spacing w:line="360" w:lineRule="auto"/>
        <w:ind w:firstLine="1200" w:firstLineChars="50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法定代表人或其被授权人：</w:t>
      </w:r>
      <w:r>
        <w:rPr>
          <w:rFonts w:hint="eastAsia" w:ascii="楷体" w:hAnsi="楷体" w:eastAsia="楷体" w:cs="楷体"/>
          <w:kern w:val="2"/>
          <w:sz w:val="24"/>
          <w:szCs w:val="24"/>
          <w:u w:val="single"/>
          <w:lang w:val="en-US" w:eastAsia="zh-CN" w:bidi="ar-SA"/>
        </w:rPr>
        <w:t xml:space="preserve">     </w:t>
      </w:r>
      <w:r>
        <w:rPr>
          <w:rFonts w:hint="eastAsia" w:ascii="楷体" w:hAnsi="楷体" w:eastAsia="楷体" w:cs="楷体"/>
          <w:kern w:val="2"/>
          <w:sz w:val="24"/>
          <w:szCs w:val="24"/>
          <w:lang w:val="en-US" w:eastAsia="zh-CN" w:bidi="ar-SA"/>
        </w:rPr>
        <w:t>（签字）</w:t>
      </w:r>
    </w:p>
    <w:p>
      <w:pPr>
        <w:pStyle w:val="35"/>
        <w:spacing w:line="360" w:lineRule="auto"/>
        <w:ind w:firstLine="482"/>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w:t>
      </w:r>
    </w:p>
    <w:p>
      <w:pPr>
        <w:pStyle w:val="35"/>
        <w:spacing w:line="360" w:lineRule="auto"/>
        <w:ind w:firstLine="482"/>
        <w:jc w:val="right"/>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 xml:space="preserve"> 年    月    日</w:t>
      </w:r>
    </w:p>
    <w:p>
      <w:pPr>
        <w:pStyle w:val="26"/>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6"/>
        <w:spacing w:line="360" w:lineRule="auto"/>
        <w:ind w:firstLine="0" w:firstLineChars="0"/>
        <w:jc w:val="left"/>
        <w:rPr>
          <w:rFonts w:ascii="仿宋" w:hAnsi="仿宋" w:eastAsia="仿宋"/>
          <w:kern w:val="44"/>
          <w:sz w:val="24"/>
          <w:szCs w:val="24"/>
        </w:rPr>
      </w:pPr>
      <w:r>
        <w:rPr>
          <w:rFonts w:hint="eastAsia" w:ascii="仿宋" w:hAnsi="仿宋" w:eastAsia="仿宋"/>
          <w:kern w:val="44"/>
          <w:sz w:val="24"/>
          <w:szCs w:val="24"/>
        </w:rPr>
        <w:t xml:space="preserve"> </w:t>
      </w:r>
    </w:p>
    <w:p>
      <w:pPr>
        <w:pStyle w:val="26"/>
        <w:spacing w:line="360" w:lineRule="auto"/>
        <w:ind w:firstLine="0" w:firstLineChars="0"/>
        <w:jc w:val="left"/>
        <w:rPr>
          <w:rFonts w:hint="eastAsia" w:ascii="仿宋" w:hAnsi="仿宋" w:eastAsia="仿宋"/>
          <w:kern w:val="44"/>
          <w:sz w:val="24"/>
          <w:szCs w:val="24"/>
        </w:rPr>
      </w:pPr>
    </w:p>
    <w:p>
      <w:pPr>
        <w:pStyle w:val="35"/>
        <w:spacing w:line="360" w:lineRule="auto"/>
        <w:rPr>
          <w:rFonts w:hint="eastAsia" w:ascii="仿宋" w:hAnsi="仿宋" w:eastAsia="仿宋" w:cs="黑体"/>
          <w:b/>
          <w:kern w:val="0"/>
          <w:sz w:val="24"/>
          <w:szCs w:val="24"/>
        </w:rPr>
      </w:pPr>
      <w:r>
        <w:rPr>
          <w:rFonts w:hint="eastAsia" w:ascii="仿宋" w:hAnsi="仿宋" w:eastAsia="仿宋" w:cs="黑体"/>
          <w:b/>
          <w:kern w:val="0"/>
          <w:sz w:val="24"/>
          <w:szCs w:val="24"/>
        </w:rPr>
        <w:t>附截图（需盖章）：</w:t>
      </w:r>
    </w:p>
    <w:p>
      <w:pPr>
        <w:pStyle w:val="26"/>
        <w:spacing w:line="360" w:lineRule="auto"/>
        <w:ind w:firstLine="0" w:firstLineChars="0"/>
        <w:jc w:val="left"/>
        <w:rPr>
          <w:rFonts w:hint="eastAsia" w:ascii="仿宋" w:hAnsi="仿宋" w:eastAsia="仿宋"/>
          <w:kern w:val="44"/>
          <w:sz w:val="24"/>
          <w:szCs w:val="24"/>
        </w:rPr>
      </w:pPr>
      <w:r>
        <w:rPr>
          <w:rFonts w:ascii="仿宋" w:hAnsi="仿宋" w:eastAsia="仿宋"/>
          <w:sz w:val="24"/>
          <w:szCs w:val="24"/>
        </w:rPr>
        <w:fldChar w:fldCharType="begin"/>
      </w:r>
      <w:r>
        <w:rPr>
          <w:rFonts w:ascii="仿宋" w:hAnsi="仿宋" w:eastAsia="仿宋"/>
          <w:sz w:val="24"/>
          <w:szCs w:val="24"/>
        </w:rPr>
        <w:instrText xml:space="preserve"> INCLUDEPICTURE "C:\\Users\\Lenovo\\AppData\\Local\\Temp\\ksohtml11256\\wps1.jpg" \* MERGEFORMATINET </w:instrText>
      </w:r>
      <w:r>
        <w:rPr>
          <w:rFonts w:ascii="仿宋" w:hAnsi="仿宋" w:eastAsia="仿宋"/>
          <w:sz w:val="24"/>
          <w:szCs w:val="24"/>
        </w:rPr>
        <w:fldChar w:fldCharType="separate"/>
      </w:r>
      <w:r>
        <w:rPr>
          <w:rFonts w:ascii="仿宋" w:hAnsi="仿宋" w:eastAsia="仿宋"/>
          <w:sz w:val="24"/>
          <w:szCs w:val="24"/>
        </w:rPr>
        <w:drawing>
          <wp:inline distT="0" distB="0" distL="114300" distR="114300">
            <wp:extent cx="5708650" cy="3796665"/>
            <wp:effectExtent l="0" t="0" r="6350" b="13335"/>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4"/>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rPr>
        <w:fldChar w:fldCharType="end"/>
      </w:r>
      <w:r>
        <w:rPr>
          <w:rFonts w:ascii="仿宋" w:hAnsi="仿宋" w:eastAsia="仿宋"/>
          <w:sz w:val="24"/>
        </w:rPr>
        <w:fldChar w:fldCharType="begin"/>
      </w:r>
      <w:r>
        <w:rPr>
          <w:rFonts w:ascii="仿宋" w:hAnsi="仿宋" w:eastAsia="仿宋"/>
          <w:sz w:val="24"/>
        </w:rPr>
        <w:instrText xml:space="preserve"> INCLUDEPICTURE "C:\\Users\\Lenovo\\AppData\\Local\\Temp\\ksohtml11256\\wps2.jpg" \* MERGEFORMATINET </w:instrText>
      </w:r>
      <w:r>
        <w:rPr>
          <w:rFonts w:ascii="仿宋" w:hAnsi="仿宋" w:eastAsia="仿宋"/>
          <w:sz w:val="24"/>
        </w:rPr>
        <w:fldChar w:fldCharType="separate"/>
      </w:r>
      <w:r>
        <w:rPr>
          <w:rFonts w:ascii="仿宋" w:hAnsi="仿宋" w:eastAsia="仿宋"/>
          <w:sz w:val="24"/>
        </w:rPr>
        <w:drawing>
          <wp:inline distT="0" distB="0" distL="114300" distR="114300">
            <wp:extent cx="5796280" cy="3346450"/>
            <wp:effectExtent l="0" t="0" r="13970" b="6350"/>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5"/>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rPr>
        <w:fldChar w:fldCharType="end"/>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kern w:val="2"/>
          <w:sz w:val="24"/>
          <w:szCs w:val="24"/>
          <w:lang w:val="en-US" w:eastAsia="zh-CN" w:bidi="ar-SA"/>
        </w:rPr>
      </w:pPr>
    </w:p>
    <w:p>
      <w:pPr>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br w:type="page"/>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附件四：需要提供的其他文件（具有检测资质的检测机构出具的合格的检验报告等）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rPr>
          <w:rFonts w:hint="eastAsia" w:ascii="仿宋" w:hAnsi="仿宋" w:eastAsia="仿宋" w:cs="仿宋"/>
          <w:color w:val="auto"/>
          <w:sz w:val="24"/>
          <w:highlight w:val="none"/>
          <w:lang w:val="en-US" w:eastAsia="zh-CN"/>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9B3944"/>
    <w:multiLevelType w:val="singleLevel"/>
    <w:tmpl w:val="7E9B394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C039CE"/>
    <w:rsid w:val="01EE37A5"/>
    <w:rsid w:val="0208611B"/>
    <w:rsid w:val="023358A9"/>
    <w:rsid w:val="023615AF"/>
    <w:rsid w:val="024A4D97"/>
    <w:rsid w:val="02601A9E"/>
    <w:rsid w:val="0278227E"/>
    <w:rsid w:val="02852330"/>
    <w:rsid w:val="028C773C"/>
    <w:rsid w:val="029810C9"/>
    <w:rsid w:val="029A3510"/>
    <w:rsid w:val="02AC3328"/>
    <w:rsid w:val="02B45D30"/>
    <w:rsid w:val="02B97306"/>
    <w:rsid w:val="02C62D99"/>
    <w:rsid w:val="02C649F6"/>
    <w:rsid w:val="02D264D3"/>
    <w:rsid w:val="02D62AD3"/>
    <w:rsid w:val="02E77606"/>
    <w:rsid w:val="02F900F0"/>
    <w:rsid w:val="030A27A5"/>
    <w:rsid w:val="030A5E0C"/>
    <w:rsid w:val="03173959"/>
    <w:rsid w:val="03215A31"/>
    <w:rsid w:val="034977D0"/>
    <w:rsid w:val="035C1B9B"/>
    <w:rsid w:val="038C33CC"/>
    <w:rsid w:val="03AE3097"/>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50C42D8"/>
    <w:rsid w:val="050E3F58"/>
    <w:rsid w:val="051B6851"/>
    <w:rsid w:val="051C02E6"/>
    <w:rsid w:val="05317607"/>
    <w:rsid w:val="05373B8C"/>
    <w:rsid w:val="055E7A09"/>
    <w:rsid w:val="057766D7"/>
    <w:rsid w:val="05800CAE"/>
    <w:rsid w:val="05964237"/>
    <w:rsid w:val="05A07863"/>
    <w:rsid w:val="05BA56F5"/>
    <w:rsid w:val="05C00463"/>
    <w:rsid w:val="05CA70D4"/>
    <w:rsid w:val="05EF1B36"/>
    <w:rsid w:val="05F7537D"/>
    <w:rsid w:val="063D3E8F"/>
    <w:rsid w:val="063E4AA0"/>
    <w:rsid w:val="06456A8C"/>
    <w:rsid w:val="064F2365"/>
    <w:rsid w:val="066958C6"/>
    <w:rsid w:val="066B1C96"/>
    <w:rsid w:val="06B0129E"/>
    <w:rsid w:val="06B81D95"/>
    <w:rsid w:val="06D12E83"/>
    <w:rsid w:val="06EE69EC"/>
    <w:rsid w:val="06F82B7E"/>
    <w:rsid w:val="07571D11"/>
    <w:rsid w:val="07826A4B"/>
    <w:rsid w:val="07BF12C2"/>
    <w:rsid w:val="07C6738E"/>
    <w:rsid w:val="07E74A05"/>
    <w:rsid w:val="087D7EB4"/>
    <w:rsid w:val="088038FF"/>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551AA"/>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FF0784"/>
    <w:rsid w:val="0C177C63"/>
    <w:rsid w:val="0C6D1CF5"/>
    <w:rsid w:val="0C885FA2"/>
    <w:rsid w:val="0CA47578"/>
    <w:rsid w:val="0CBF4BF8"/>
    <w:rsid w:val="0CF307C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C87637"/>
    <w:rsid w:val="0EF330E4"/>
    <w:rsid w:val="0F126346"/>
    <w:rsid w:val="0F1966EA"/>
    <w:rsid w:val="0F262DE9"/>
    <w:rsid w:val="0F542633"/>
    <w:rsid w:val="0F5B66DF"/>
    <w:rsid w:val="0F8356F3"/>
    <w:rsid w:val="0F8D784A"/>
    <w:rsid w:val="0F9E675B"/>
    <w:rsid w:val="0FA35C35"/>
    <w:rsid w:val="0FD50F57"/>
    <w:rsid w:val="0FD53E86"/>
    <w:rsid w:val="0FE51F22"/>
    <w:rsid w:val="0FF629CC"/>
    <w:rsid w:val="100D326B"/>
    <w:rsid w:val="10104B71"/>
    <w:rsid w:val="101D2E10"/>
    <w:rsid w:val="10211D87"/>
    <w:rsid w:val="10311FCB"/>
    <w:rsid w:val="103764A9"/>
    <w:rsid w:val="10407146"/>
    <w:rsid w:val="105534D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105771"/>
    <w:rsid w:val="111E5122"/>
    <w:rsid w:val="112315AA"/>
    <w:rsid w:val="11236961"/>
    <w:rsid w:val="112D573C"/>
    <w:rsid w:val="112E2B27"/>
    <w:rsid w:val="11352AC3"/>
    <w:rsid w:val="114C5FF1"/>
    <w:rsid w:val="115241D9"/>
    <w:rsid w:val="115E178F"/>
    <w:rsid w:val="11670D99"/>
    <w:rsid w:val="117D2F3D"/>
    <w:rsid w:val="117D68B3"/>
    <w:rsid w:val="11850FF5"/>
    <w:rsid w:val="1198722D"/>
    <w:rsid w:val="11A852B4"/>
    <w:rsid w:val="11B33417"/>
    <w:rsid w:val="11B67C1F"/>
    <w:rsid w:val="11C54E00"/>
    <w:rsid w:val="11CA6E7F"/>
    <w:rsid w:val="11CB5437"/>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1530C"/>
    <w:rsid w:val="15C26140"/>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D01B76"/>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C36111"/>
    <w:rsid w:val="18C94AD3"/>
    <w:rsid w:val="18DE2ED2"/>
    <w:rsid w:val="18E06F8D"/>
    <w:rsid w:val="18E21560"/>
    <w:rsid w:val="18EB5025"/>
    <w:rsid w:val="190742CD"/>
    <w:rsid w:val="190D36A9"/>
    <w:rsid w:val="19304DCF"/>
    <w:rsid w:val="19442175"/>
    <w:rsid w:val="194476BE"/>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D0090"/>
    <w:rsid w:val="1AB319BE"/>
    <w:rsid w:val="1AD4393F"/>
    <w:rsid w:val="1AD77563"/>
    <w:rsid w:val="1AE509FF"/>
    <w:rsid w:val="1AE54FD5"/>
    <w:rsid w:val="1AEC06BC"/>
    <w:rsid w:val="1AF26D42"/>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B464A"/>
    <w:rsid w:val="1C87045D"/>
    <w:rsid w:val="1C8D7DE8"/>
    <w:rsid w:val="1C947772"/>
    <w:rsid w:val="1CA04BF9"/>
    <w:rsid w:val="1CA114E3"/>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E0A51EF"/>
    <w:rsid w:val="1E48458C"/>
    <w:rsid w:val="1E552FF2"/>
    <w:rsid w:val="1E5A3B65"/>
    <w:rsid w:val="1E5D4FF0"/>
    <w:rsid w:val="1E6C14AB"/>
    <w:rsid w:val="1E9F5C7C"/>
    <w:rsid w:val="1E9F669B"/>
    <w:rsid w:val="1EA254C4"/>
    <w:rsid w:val="1EDC0931"/>
    <w:rsid w:val="1EF06925"/>
    <w:rsid w:val="1EF85EBB"/>
    <w:rsid w:val="1F2A5C8F"/>
    <w:rsid w:val="1F647CCA"/>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32ED"/>
    <w:rsid w:val="21D21888"/>
    <w:rsid w:val="21DE7CEF"/>
    <w:rsid w:val="21E75FAA"/>
    <w:rsid w:val="21EB0FE8"/>
    <w:rsid w:val="21F471EA"/>
    <w:rsid w:val="21F81B93"/>
    <w:rsid w:val="21FD636C"/>
    <w:rsid w:val="22177DFE"/>
    <w:rsid w:val="22214E8B"/>
    <w:rsid w:val="225F2771"/>
    <w:rsid w:val="227F0AA8"/>
    <w:rsid w:val="22811E51"/>
    <w:rsid w:val="228C7DBD"/>
    <w:rsid w:val="229E1AD7"/>
    <w:rsid w:val="22B51B4C"/>
    <w:rsid w:val="22E753A0"/>
    <w:rsid w:val="23026758"/>
    <w:rsid w:val="23156A1D"/>
    <w:rsid w:val="2316669C"/>
    <w:rsid w:val="231B3959"/>
    <w:rsid w:val="23372454"/>
    <w:rsid w:val="237770F1"/>
    <w:rsid w:val="2379093F"/>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7D4CEA"/>
    <w:rsid w:val="24CB43A2"/>
    <w:rsid w:val="24D136EA"/>
    <w:rsid w:val="250C526B"/>
    <w:rsid w:val="252044A2"/>
    <w:rsid w:val="25255746"/>
    <w:rsid w:val="2543123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7405B8"/>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B1B6DC7"/>
    <w:rsid w:val="2B251E53"/>
    <w:rsid w:val="2B4D78BA"/>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81295C"/>
    <w:rsid w:val="2E855ADF"/>
    <w:rsid w:val="2E90145A"/>
    <w:rsid w:val="2E9B555A"/>
    <w:rsid w:val="2EA15034"/>
    <w:rsid w:val="2EC47C6B"/>
    <w:rsid w:val="2ECC66C0"/>
    <w:rsid w:val="2EE161F9"/>
    <w:rsid w:val="2EEE550E"/>
    <w:rsid w:val="2EFA1321"/>
    <w:rsid w:val="2F0C123B"/>
    <w:rsid w:val="2F104EF5"/>
    <w:rsid w:val="2F241D9C"/>
    <w:rsid w:val="2F666452"/>
    <w:rsid w:val="2F800A22"/>
    <w:rsid w:val="2FBC6A58"/>
    <w:rsid w:val="2FC751F2"/>
    <w:rsid w:val="2FD101DF"/>
    <w:rsid w:val="2FDB50AB"/>
    <w:rsid w:val="300A1D96"/>
    <w:rsid w:val="30111385"/>
    <w:rsid w:val="3027200C"/>
    <w:rsid w:val="30520144"/>
    <w:rsid w:val="30677C1C"/>
    <w:rsid w:val="30797214"/>
    <w:rsid w:val="307B5F9A"/>
    <w:rsid w:val="30906E39"/>
    <w:rsid w:val="309F007B"/>
    <w:rsid w:val="30A80A26"/>
    <w:rsid w:val="30B152B8"/>
    <w:rsid w:val="30E25866"/>
    <w:rsid w:val="30F23719"/>
    <w:rsid w:val="30F578FE"/>
    <w:rsid w:val="30FC21C9"/>
    <w:rsid w:val="310A313C"/>
    <w:rsid w:val="310D4A9A"/>
    <w:rsid w:val="3114202C"/>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70B9"/>
    <w:rsid w:val="32A73FA5"/>
    <w:rsid w:val="32C42CAC"/>
    <w:rsid w:val="32E06A79"/>
    <w:rsid w:val="32F02819"/>
    <w:rsid w:val="32F9052C"/>
    <w:rsid w:val="32FB3E09"/>
    <w:rsid w:val="33121AA1"/>
    <w:rsid w:val="3317335F"/>
    <w:rsid w:val="331A4072"/>
    <w:rsid w:val="3332073B"/>
    <w:rsid w:val="333F77DD"/>
    <w:rsid w:val="33650EE0"/>
    <w:rsid w:val="33814278"/>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D414C"/>
    <w:rsid w:val="35DF4003"/>
    <w:rsid w:val="35E574C0"/>
    <w:rsid w:val="361B5B4E"/>
    <w:rsid w:val="361D3657"/>
    <w:rsid w:val="36233F9D"/>
    <w:rsid w:val="364C3796"/>
    <w:rsid w:val="364D066D"/>
    <w:rsid w:val="36772774"/>
    <w:rsid w:val="368215FE"/>
    <w:rsid w:val="36B25143"/>
    <w:rsid w:val="36CF347B"/>
    <w:rsid w:val="371A59E1"/>
    <w:rsid w:val="377F12BF"/>
    <w:rsid w:val="37816F94"/>
    <w:rsid w:val="37A01A64"/>
    <w:rsid w:val="37BA4F22"/>
    <w:rsid w:val="37E03E2C"/>
    <w:rsid w:val="37F00424"/>
    <w:rsid w:val="3806295D"/>
    <w:rsid w:val="380E0584"/>
    <w:rsid w:val="3812280E"/>
    <w:rsid w:val="381B7B44"/>
    <w:rsid w:val="38391966"/>
    <w:rsid w:val="383A48CB"/>
    <w:rsid w:val="383B152D"/>
    <w:rsid w:val="385333AC"/>
    <w:rsid w:val="38A464F9"/>
    <w:rsid w:val="38AC3066"/>
    <w:rsid w:val="38AC436C"/>
    <w:rsid w:val="38BF0F3E"/>
    <w:rsid w:val="38C95ED9"/>
    <w:rsid w:val="38CA300C"/>
    <w:rsid w:val="38D06594"/>
    <w:rsid w:val="38E060F1"/>
    <w:rsid w:val="38FC7121"/>
    <w:rsid w:val="39003390"/>
    <w:rsid w:val="39010974"/>
    <w:rsid w:val="3907079C"/>
    <w:rsid w:val="393F7622"/>
    <w:rsid w:val="395808CD"/>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B616DF"/>
    <w:rsid w:val="3BD21E54"/>
    <w:rsid w:val="3BF3026A"/>
    <w:rsid w:val="3C0A10A8"/>
    <w:rsid w:val="3C125364"/>
    <w:rsid w:val="3C1F0FD1"/>
    <w:rsid w:val="3C2351B6"/>
    <w:rsid w:val="3C444AF5"/>
    <w:rsid w:val="3C4D3897"/>
    <w:rsid w:val="3C4D6F59"/>
    <w:rsid w:val="3C5E539B"/>
    <w:rsid w:val="3C630A5B"/>
    <w:rsid w:val="3C7269E9"/>
    <w:rsid w:val="3CC330F6"/>
    <w:rsid w:val="3CC50422"/>
    <w:rsid w:val="3CC63F65"/>
    <w:rsid w:val="3CC86FC9"/>
    <w:rsid w:val="3CCB46CA"/>
    <w:rsid w:val="3D0972EB"/>
    <w:rsid w:val="3D2F43EF"/>
    <w:rsid w:val="3D41092A"/>
    <w:rsid w:val="3D68584E"/>
    <w:rsid w:val="3D6C3C45"/>
    <w:rsid w:val="3D764B63"/>
    <w:rsid w:val="3D9A7321"/>
    <w:rsid w:val="3D9C48F8"/>
    <w:rsid w:val="3DA2472E"/>
    <w:rsid w:val="3DAA2473"/>
    <w:rsid w:val="3E2357D8"/>
    <w:rsid w:val="3E315296"/>
    <w:rsid w:val="3E507BFC"/>
    <w:rsid w:val="3E515C8A"/>
    <w:rsid w:val="3E596005"/>
    <w:rsid w:val="3E833A1C"/>
    <w:rsid w:val="3E9F7AC9"/>
    <w:rsid w:val="3EA93C5B"/>
    <w:rsid w:val="3EAD5512"/>
    <w:rsid w:val="3ED5179E"/>
    <w:rsid w:val="3ED573B0"/>
    <w:rsid w:val="3EE06334"/>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185137"/>
    <w:rsid w:val="402F14D9"/>
    <w:rsid w:val="40477AD1"/>
    <w:rsid w:val="405B2D35"/>
    <w:rsid w:val="406608CC"/>
    <w:rsid w:val="406C1FA6"/>
    <w:rsid w:val="407630B7"/>
    <w:rsid w:val="407B0128"/>
    <w:rsid w:val="407E43D4"/>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3773BA"/>
    <w:rsid w:val="42386C01"/>
    <w:rsid w:val="423A336B"/>
    <w:rsid w:val="4252254E"/>
    <w:rsid w:val="425B59EA"/>
    <w:rsid w:val="425D2BCC"/>
    <w:rsid w:val="42937CAF"/>
    <w:rsid w:val="4298644F"/>
    <w:rsid w:val="42AD2B71"/>
    <w:rsid w:val="42BC56D0"/>
    <w:rsid w:val="430168B8"/>
    <w:rsid w:val="430C159E"/>
    <w:rsid w:val="431C0FD8"/>
    <w:rsid w:val="432C69BC"/>
    <w:rsid w:val="4377327F"/>
    <w:rsid w:val="43904469"/>
    <w:rsid w:val="43933CA0"/>
    <w:rsid w:val="43A82FD5"/>
    <w:rsid w:val="43B91DAA"/>
    <w:rsid w:val="43C83510"/>
    <w:rsid w:val="43DC4746"/>
    <w:rsid w:val="44081F09"/>
    <w:rsid w:val="440A2F83"/>
    <w:rsid w:val="441901BE"/>
    <w:rsid w:val="445C5D26"/>
    <w:rsid w:val="446E1F07"/>
    <w:rsid w:val="448B2102"/>
    <w:rsid w:val="449900F5"/>
    <w:rsid w:val="44A4522B"/>
    <w:rsid w:val="44B17003"/>
    <w:rsid w:val="451F55A0"/>
    <w:rsid w:val="45210077"/>
    <w:rsid w:val="453C7D64"/>
    <w:rsid w:val="453F7628"/>
    <w:rsid w:val="45403E4D"/>
    <w:rsid w:val="454050A9"/>
    <w:rsid w:val="45407AB5"/>
    <w:rsid w:val="459704A1"/>
    <w:rsid w:val="45A50F46"/>
    <w:rsid w:val="45B11EE5"/>
    <w:rsid w:val="45B95841"/>
    <w:rsid w:val="45DA3724"/>
    <w:rsid w:val="45FA6EE8"/>
    <w:rsid w:val="461D4A97"/>
    <w:rsid w:val="46513FED"/>
    <w:rsid w:val="4689127A"/>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E24779"/>
    <w:rsid w:val="47FD0920"/>
    <w:rsid w:val="48141AAF"/>
    <w:rsid w:val="481B3258"/>
    <w:rsid w:val="482728EE"/>
    <w:rsid w:val="483C715F"/>
    <w:rsid w:val="483F0D04"/>
    <w:rsid w:val="485830BD"/>
    <w:rsid w:val="485C3C19"/>
    <w:rsid w:val="488D33C5"/>
    <w:rsid w:val="489E3831"/>
    <w:rsid w:val="48B71159"/>
    <w:rsid w:val="48CB3FD3"/>
    <w:rsid w:val="48CB4F9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E52AC"/>
    <w:rsid w:val="4AF41787"/>
    <w:rsid w:val="4B0444D9"/>
    <w:rsid w:val="4B13279D"/>
    <w:rsid w:val="4B1871A4"/>
    <w:rsid w:val="4B5936AA"/>
    <w:rsid w:val="4B5C462F"/>
    <w:rsid w:val="4B5D1EF4"/>
    <w:rsid w:val="4B5F55B3"/>
    <w:rsid w:val="4B6D0492"/>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9505E"/>
    <w:rsid w:val="4C4B1E3A"/>
    <w:rsid w:val="4C5C7BFB"/>
    <w:rsid w:val="4C632C63"/>
    <w:rsid w:val="4C8338E1"/>
    <w:rsid w:val="4CA45A05"/>
    <w:rsid w:val="4CB13156"/>
    <w:rsid w:val="4CC976B2"/>
    <w:rsid w:val="4CE40C32"/>
    <w:rsid w:val="4CE71BB7"/>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8D4700"/>
    <w:rsid w:val="4EA07AD7"/>
    <w:rsid w:val="4EBD3D3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D4018"/>
    <w:rsid w:val="51596572"/>
    <w:rsid w:val="517F4BC4"/>
    <w:rsid w:val="51A20030"/>
    <w:rsid w:val="51A73B0A"/>
    <w:rsid w:val="51C407B0"/>
    <w:rsid w:val="51CB0037"/>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456704"/>
    <w:rsid w:val="5950021B"/>
    <w:rsid w:val="59502516"/>
    <w:rsid w:val="5955281D"/>
    <w:rsid w:val="59A26A9D"/>
    <w:rsid w:val="59B014A3"/>
    <w:rsid w:val="59B05DB3"/>
    <w:rsid w:val="59D04D4F"/>
    <w:rsid w:val="59D51EEC"/>
    <w:rsid w:val="59DA6BF7"/>
    <w:rsid w:val="59E37225"/>
    <w:rsid w:val="5A0C6784"/>
    <w:rsid w:val="5A2921FA"/>
    <w:rsid w:val="5A4B01B0"/>
    <w:rsid w:val="5A4B611D"/>
    <w:rsid w:val="5A4D3444"/>
    <w:rsid w:val="5A5C0A61"/>
    <w:rsid w:val="5A682201"/>
    <w:rsid w:val="5A6F65C2"/>
    <w:rsid w:val="5A8B4626"/>
    <w:rsid w:val="5AA453D4"/>
    <w:rsid w:val="5AA7449C"/>
    <w:rsid w:val="5AB4402F"/>
    <w:rsid w:val="5AEA1628"/>
    <w:rsid w:val="5AF63138"/>
    <w:rsid w:val="5AF7549A"/>
    <w:rsid w:val="5B141A61"/>
    <w:rsid w:val="5B1E6E24"/>
    <w:rsid w:val="5B2118F7"/>
    <w:rsid w:val="5B4C1057"/>
    <w:rsid w:val="5B603D7C"/>
    <w:rsid w:val="5BD777E6"/>
    <w:rsid w:val="5C122D5E"/>
    <w:rsid w:val="5C330BCF"/>
    <w:rsid w:val="5C733038"/>
    <w:rsid w:val="5C737D2C"/>
    <w:rsid w:val="5C7E6E4B"/>
    <w:rsid w:val="5C817DEC"/>
    <w:rsid w:val="5C8F2968"/>
    <w:rsid w:val="5C9A2097"/>
    <w:rsid w:val="5CAB6A15"/>
    <w:rsid w:val="5CAC7202"/>
    <w:rsid w:val="5CB26DE8"/>
    <w:rsid w:val="5CCD1C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8A14A9"/>
    <w:rsid w:val="5E952F92"/>
    <w:rsid w:val="5EAA1E1F"/>
    <w:rsid w:val="5EC41684"/>
    <w:rsid w:val="5EDB3C26"/>
    <w:rsid w:val="5F1C698C"/>
    <w:rsid w:val="5F2E10CF"/>
    <w:rsid w:val="5F393BBF"/>
    <w:rsid w:val="5F503E46"/>
    <w:rsid w:val="5F5825D3"/>
    <w:rsid w:val="5F6B6599"/>
    <w:rsid w:val="5FB07830"/>
    <w:rsid w:val="5FB15CCE"/>
    <w:rsid w:val="5FD149C5"/>
    <w:rsid w:val="5FD501C7"/>
    <w:rsid w:val="5FE71C0A"/>
    <w:rsid w:val="600B0C58"/>
    <w:rsid w:val="600B2AA4"/>
    <w:rsid w:val="600D74F7"/>
    <w:rsid w:val="60195438"/>
    <w:rsid w:val="601A2EBA"/>
    <w:rsid w:val="60261E8C"/>
    <w:rsid w:val="6028529C"/>
    <w:rsid w:val="605C6A77"/>
    <w:rsid w:val="607A0954"/>
    <w:rsid w:val="60843A2C"/>
    <w:rsid w:val="608E3C91"/>
    <w:rsid w:val="60990088"/>
    <w:rsid w:val="60A3539C"/>
    <w:rsid w:val="60AC022A"/>
    <w:rsid w:val="60D11363"/>
    <w:rsid w:val="60D47226"/>
    <w:rsid w:val="60E46266"/>
    <w:rsid w:val="60E63CC9"/>
    <w:rsid w:val="61277B74"/>
    <w:rsid w:val="61336954"/>
    <w:rsid w:val="616748AA"/>
    <w:rsid w:val="61886913"/>
    <w:rsid w:val="619929B6"/>
    <w:rsid w:val="61AF068E"/>
    <w:rsid w:val="61BF76A4"/>
    <w:rsid w:val="61D07906"/>
    <w:rsid w:val="61E345CA"/>
    <w:rsid w:val="61E736CF"/>
    <w:rsid w:val="621351F3"/>
    <w:rsid w:val="624F51AE"/>
    <w:rsid w:val="628864B6"/>
    <w:rsid w:val="62A65A66"/>
    <w:rsid w:val="62AC7F1A"/>
    <w:rsid w:val="62B824EE"/>
    <w:rsid w:val="62E23692"/>
    <w:rsid w:val="63005D66"/>
    <w:rsid w:val="63141638"/>
    <w:rsid w:val="631A6403"/>
    <w:rsid w:val="63284D3B"/>
    <w:rsid w:val="632C533B"/>
    <w:rsid w:val="634D4E90"/>
    <w:rsid w:val="63501369"/>
    <w:rsid w:val="6366242A"/>
    <w:rsid w:val="63901267"/>
    <w:rsid w:val="639C2AFB"/>
    <w:rsid w:val="63AA7CFC"/>
    <w:rsid w:val="63AB5173"/>
    <w:rsid w:val="63B333D8"/>
    <w:rsid w:val="63B91F59"/>
    <w:rsid w:val="63BF116F"/>
    <w:rsid w:val="63CA5BF8"/>
    <w:rsid w:val="63D30A57"/>
    <w:rsid w:val="63D8165B"/>
    <w:rsid w:val="63E35EEA"/>
    <w:rsid w:val="63ED31C7"/>
    <w:rsid w:val="63F1154B"/>
    <w:rsid w:val="64362CFA"/>
    <w:rsid w:val="64404966"/>
    <w:rsid w:val="64860B5E"/>
    <w:rsid w:val="64B557C6"/>
    <w:rsid w:val="64C762EE"/>
    <w:rsid w:val="64C8331B"/>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C0422"/>
    <w:rsid w:val="6923694C"/>
    <w:rsid w:val="69241843"/>
    <w:rsid w:val="695D1FE3"/>
    <w:rsid w:val="696714E2"/>
    <w:rsid w:val="6969738E"/>
    <w:rsid w:val="69725190"/>
    <w:rsid w:val="697A1E70"/>
    <w:rsid w:val="69840D94"/>
    <w:rsid w:val="698A6FB3"/>
    <w:rsid w:val="69966649"/>
    <w:rsid w:val="69DE4130"/>
    <w:rsid w:val="6A0016F1"/>
    <w:rsid w:val="6A7449B2"/>
    <w:rsid w:val="6A9929F4"/>
    <w:rsid w:val="6ACB2E33"/>
    <w:rsid w:val="6ACC52E9"/>
    <w:rsid w:val="6ACF763D"/>
    <w:rsid w:val="6AD63A5F"/>
    <w:rsid w:val="6ADE3A31"/>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F16ADA"/>
    <w:rsid w:val="6C0B4072"/>
    <w:rsid w:val="6C105A58"/>
    <w:rsid w:val="6C1364EE"/>
    <w:rsid w:val="6C223623"/>
    <w:rsid w:val="6C2320CA"/>
    <w:rsid w:val="6C2B3181"/>
    <w:rsid w:val="6CD00E99"/>
    <w:rsid w:val="6CEF2A56"/>
    <w:rsid w:val="6D1D2712"/>
    <w:rsid w:val="6D205895"/>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F967A0"/>
    <w:rsid w:val="6EFD396C"/>
    <w:rsid w:val="6F0674FF"/>
    <w:rsid w:val="6F2F0E79"/>
    <w:rsid w:val="6F3F3691"/>
    <w:rsid w:val="6F49144D"/>
    <w:rsid w:val="6F8A5194"/>
    <w:rsid w:val="6F9A510E"/>
    <w:rsid w:val="6FA40E37"/>
    <w:rsid w:val="6FC05107"/>
    <w:rsid w:val="6FCB133A"/>
    <w:rsid w:val="6FEC122C"/>
    <w:rsid w:val="6FF35ED1"/>
    <w:rsid w:val="700B3C9A"/>
    <w:rsid w:val="700E3F90"/>
    <w:rsid w:val="702B4594"/>
    <w:rsid w:val="705169D2"/>
    <w:rsid w:val="705F3769"/>
    <w:rsid w:val="706E7C5A"/>
    <w:rsid w:val="70734988"/>
    <w:rsid w:val="709D4BC6"/>
    <w:rsid w:val="70A86CD7"/>
    <w:rsid w:val="70B712FE"/>
    <w:rsid w:val="70E7043C"/>
    <w:rsid w:val="70F80464"/>
    <w:rsid w:val="710160B5"/>
    <w:rsid w:val="71043090"/>
    <w:rsid w:val="71070547"/>
    <w:rsid w:val="71155816"/>
    <w:rsid w:val="712041AC"/>
    <w:rsid w:val="712B420C"/>
    <w:rsid w:val="712B4F43"/>
    <w:rsid w:val="713A694F"/>
    <w:rsid w:val="713C1E52"/>
    <w:rsid w:val="7140235F"/>
    <w:rsid w:val="7144725F"/>
    <w:rsid w:val="71633397"/>
    <w:rsid w:val="717133FA"/>
    <w:rsid w:val="717B0A3E"/>
    <w:rsid w:val="717D0177"/>
    <w:rsid w:val="71847F3E"/>
    <w:rsid w:val="71A053FA"/>
    <w:rsid w:val="71C139F6"/>
    <w:rsid w:val="71D12075"/>
    <w:rsid w:val="71DB0593"/>
    <w:rsid w:val="71F64B04"/>
    <w:rsid w:val="720A7028"/>
    <w:rsid w:val="721037CA"/>
    <w:rsid w:val="7216791F"/>
    <w:rsid w:val="722A4105"/>
    <w:rsid w:val="72527F77"/>
    <w:rsid w:val="72606732"/>
    <w:rsid w:val="726561BD"/>
    <w:rsid w:val="729A0EE0"/>
    <w:rsid w:val="72B41A3F"/>
    <w:rsid w:val="72BB4879"/>
    <w:rsid w:val="72BF6CA4"/>
    <w:rsid w:val="72C00DB2"/>
    <w:rsid w:val="72C309D4"/>
    <w:rsid w:val="73085C4E"/>
    <w:rsid w:val="733C2B39"/>
    <w:rsid w:val="73442E54"/>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FF02FF"/>
    <w:rsid w:val="750D5096"/>
    <w:rsid w:val="752040A9"/>
    <w:rsid w:val="75291143"/>
    <w:rsid w:val="752F7911"/>
    <w:rsid w:val="753F0BF9"/>
    <w:rsid w:val="757E4BB2"/>
    <w:rsid w:val="75907AC8"/>
    <w:rsid w:val="759D11B8"/>
    <w:rsid w:val="75D72E5A"/>
    <w:rsid w:val="75E21BF7"/>
    <w:rsid w:val="75E50A31"/>
    <w:rsid w:val="75ED0276"/>
    <w:rsid w:val="75F60897"/>
    <w:rsid w:val="75FE5CA3"/>
    <w:rsid w:val="76090637"/>
    <w:rsid w:val="76134807"/>
    <w:rsid w:val="76272627"/>
    <w:rsid w:val="763273F7"/>
    <w:rsid w:val="765457D0"/>
    <w:rsid w:val="765F5DB9"/>
    <w:rsid w:val="76842C25"/>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8342D62"/>
    <w:rsid w:val="7847671C"/>
    <w:rsid w:val="786A2128"/>
    <w:rsid w:val="787F5E0E"/>
    <w:rsid w:val="789A41C2"/>
    <w:rsid w:val="78AF300E"/>
    <w:rsid w:val="78B86A6C"/>
    <w:rsid w:val="78BD3A05"/>
    <w:rsid w:val="78CB70BB"/>
    <w:rsid w:val="78CC6D3B"/>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B111CB9"/>
    <w:rsid w:val="7B3B0CF5"/>
    <w:rsid w:val="7B402043"/>
    <w:rsid w:val="7B587D8B"/>
    <w:rsid w:val="7B5F4AF6"/>
    <w:rsid w:val="7B6446E7"/>
    <w:rsid w:val="7B7421C6"/>
    <w:rsid w:val="7B897F9C"/>
    <w:rsid w:val="7B8B6C3F"/>
    <w:rsid w:val="7B974C50"/>
    <w:rsid w:val="7BBF0DE6"/>
    <w:rsid w:val="7BC94525"/>
    <w:rsid w:val="7BCA41A5"/>
    <w:rsid w:val="7BDE0036"/>
    <w:rsid w:val="7C0C42D3"/>
    <w:rsid w:val="7C2D09C7"/>
    <w:rsid w:val="7C420509"/>
    <w:rsid w:val="7C607F1C"/>
    <w:rsid w:val="7C853942"/>
    <w:rsid w:val="7CAA7097"/>
    <w:rsid w:val="7CBA3DB9"/>
    <w:rsid w:val="7CE615AE"/>
    <w:rsid w:val="7CEF733F"/>
    <w:rsid w:val="7CF96612"/>
    <w:rsid w:val="7D0261D9"/>
    <w:rsid w:val="7D296539"/>
    <w:rsid w:val="7D2A34EB"/>
    <w:rsid w:val="7D3014EE"/>
    <w:rsid w:val="7D4D65D6"/>
    <w:rsid w:val="7D5A7F7D"/>
    <w:rsid w:val="7D6361EF"/>
    <w:rsid w:val="7D696B90"/>
    <w:rsid w:val="7D6A3C51"/>
    <w:rsid w:val="7D80686A"/>
    <w:rsid w:val="7D9010A7"/>
    <w:rsid w:val="7D9646F1"/>
    <w:rsid w:val="7D983CB5"/>
    <w:rsid w:val="7DA13DAB"/>
    <w:rsid w:val="7DAC06B5"/>
    <w:rsid w:val="7DAE2712"/>
    <w:rsid w:val="7DB36FB1"/>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F0B337E"/>
    <w:rsid w:val="7F122D08"/>
    <w:rsid w:val="7F28568F"/>
    <w:rsid w:val="7F443A18"/>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autoRedefine/>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2"/>
    <w:autoRedefine/>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1"/>
    <w:autoRedefine/>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1"/>
    <w:rPr>
      <w:rFonts w:ascii="宋体" w:hAnsi="宋体" w:eastAsia="宋体" w:cs="宋体"/>
      <w:sz w:val="21"/>
      <w:szCs w:val="21"/>
      <w:lang w:val="zh-CN" w:eastAsia="zh-CN" w:bidi="zh-CN"/>
    </w:rPr>
  </w:style>
  <w:style w:type="paragraph" w:styleId="8">
    <w:name w:val="Body Text Indent"/>
    <w:basedOn w:val="1"/>
    <w:autoRedefine/>
    <w:qFormat/>
    <w:uiPriority w:val="0"/>
    <w:pPr>
      <w:tabs>
        <w:tab w:val="left" w:pos="992"/>
      </w:tabs>
      <w:ind w:firstLine="560" w:firstLineChars="200"/>
    </w:pPr>
  </w:style>
  <w:style w:type="paragraph" w:styleId="9">
    <w:name w:val="Plain Text"/>
    <w:autoRedefine/>
    <w:unhideWhenUsed/>
    <w:qFormat/>
    <w:uiPriority w:val="0"/>
    <w:rPr>
      <w:rFonts w:ascii="宋体" w:hAnsi="Courier New" w:eastAsia="宋体" w:cs="Times New Roman"/>
      <w:szCs w:val="21"/>
      <w:lang w:val="en-US" w:eastAsia="zh-CN" w:bidi="ar-SA"/>
    </w:rPr>
  </w:style>
  <w:style w:type="paragraph" w:styleId="10">
    <w:name w:val="Balloon Text"/>
    <w:basedOn w:val="1"/>
    <w:link w:val="30"/>
    <w:autoRedefine/>
    <w:unhideWhenUsed/>
    <w:qFormat/>
    <w:uiPriority w:val="99"/>
    <w:rPr>
      <w:sz w:val="18"/>
      <w:szCs w:val="18"/>
    </w:rPr>
  </w:style>
  <w:style w:type="paragraph" w:styleId="11">
    <w:name w:val="footer"/>
    <w:basedOn w:val="1"/>
    <w:link w:val="29"/>
    <w:autoRedefine/>
    <w:unhideWhenUsed/>
    <w:qFormat/>
    <w:uiPriority w:val="99"/>
    <w:pPr>
      <w:tabs>
        <w:tab w:val="center" w:pos="4153"/>
        <w:tab w:val="right" w:pos="8306"/>
      </w:tabs>
      <w:snapToGrid w:val="0"/>
      <w:jc w:val="left"/>
    </w:pPr>
    <w:rPr>
      <w:sz w:val="18"/>
      <w:szCs w:val="18"/>
    </w:rPr>
  </w:style>
  <w:style w:type="paragraph" w:styleId="12">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unhideWhenUsed/>
    <w:qFormat/>
    <w:uiPriority w:val="39"/>
    <w:pPr>
      <w:tabs>
        <w:tab w:val="left" w:pos="1050"/>
        <w:tab w:val="right" w:leader="dot" w:pos="8296"/>
      </w:tabs>
    </w:pPr>
  </w:style>
  <w:style w:type="paragraph" w:styleId="14">
    <w:name w:val="toc 2"/>
    <w:basedOn w:val="1"/>
    <w:next w:val="1"/>
    <w:autoRedefine/>
    <w:unhideWhenUsed/>
    <w:qFormat/>
    <w:uiPriority w:val="39"/>
    <w:pPr>
      <w:ind w:left="420" w:leftChars="200"/>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6"/>
    <w:next w:val="13"/>
    <w:autoRedefine/>
    <w:semiHidden/>
    <w:qFormat/>
    <w:uiPriority w:val="0"/>
    <w:rPr>
      <w:b/>
      <w:bCs/>
    </w:rPr>
  </w:style>
  <w:style w:type="paragraph" w:styleId="17">
    <w:name w:val="Body Text First Indent 2"/>
    <w:basedOn w:val="8"/>
    <w:autoRedefine/>
    <w:qFormat/>
    <w:uiPriority w:val="0"/>
    <w:pPr>
      <w:spacing w:after="120"/>
      <w:ind w:left="420" w:leftChars="200" w:firstLine="420"/>
    </w:pPr>
    <w:rPr>
      <w:bCs/>
    </w:rPr>
  </w:style>
  <w:style w:type="table" w:styleId="19">
    <w:name w:val="Table Grid"/>
    <w:basedOn w:val="18"/>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unhideWhenUsed/>
    <w:qFormat/>
    <w:uiPriority w:val="0"/>
  </w:style>
  <w:style w:type="character" w:styleId="22">
    <w:name w:val="Hyperlink"/>
    <w:autoRedefine/>
    <w:unhideWhenUsed/>
    <w:qFormat/>
    <w:uiPriority w:val="99"/>
    <w:rPr>
      <w:color w:val="0000FF"/>
      <w:u w:val="single"/>
    </w:rPr>
  </w:style>
  <w:style w:type="paragraph" w:customStyle="1" w:styleId="23">
    <w:name w:val="汇编标题1"/>
    <w:basedOn w:val="2"/>
    <w:next w:val="24"/>
    <w:autoRedefine/>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4">
    <w:name w:val="汇编正文"/>
    <w:basedOn w:val="1"/>
    <w:next w:val="25"/>
    <w:autoRedefine/>
    <w:qFormat/>
    <w:uiPriority w:val="99"/>
    <w:pPr>
      <w:snapToGrid w:val="0"/>
      <w:spacing w:line="360" w:lineRule="atLeast"/>
    </w:pPr>
    <w:rPr>
      <w:color w:val="000000"/>
      <w:lang w:val="zh-CN"/>
    </w:rPr>
  </w:style>
  <w:style w:type="paragraph" w:customStyle="1" w:styleId="25">
    <w:name w:val="样式 标题 1 + 黑体 三号 非加粗 居中 段前: 6 磅 段后: 6 磅 行距: 固定值 20 磅"/>
    <w:basedOn w:val="2"/>
    <w:next w:val="16"/>
    <w:autoRedefine/>
    <w:qFormat/>
    <w:uiPriority w:val="0"/>
    <w:pPr>
      <w:spacing w:before="120" w:after="120" w:line="400" w:lineRule="exact"/>
      <w:jc w:val="center"/>
    </w:pPr>
    <w:rPr>
      <w:rFonts w:ascii="黑体" w:hAnsi="黑体" w:eastAsia="黑体" w:cs="宋体"/>
      <w:b w:val="0"/>
      <w:sz w:val="32"/>
      <w:szCs w:val="20"/>
    </w:rPr>
  </w:style>
  <w:style w:type="paragraph" w:customStyle="1" w:styleId="26">
    <w:name w:val="列出段落1"/>
    <w:basedOn w:val="1"/>
    <w:autoRedefine/>
    <w:qFormat/>
    <w:uiPriority w:val="34"/>
    <w:pPr>
      <w:ind w:firstLine="420" w:firstLineChars="200"/>
    </w:pPr>
  </w:style>
  <w:style w:type="paragraph" w:customStyle="1" w:styleId="27">
    <w:name w:val="TOC 标题1"/>
    <w:basedOn w:val="2"/>
    <w:next w:val="1"/>
    <w:autoRedefine/>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28">
    <w:name w:val="页眉 Char"/>
    <w:link w:val="12"/>
    <w:autoRedefine/>
    <w:semiHidden/>
    <w:qFormat/>
    <w:uiPriority w:val="99"/>
    <w:rPr>
      <w:sz w:val="18"/>
      <w:szCs w:val="18"/>
    </w:rPr>
  </w:style>
  <w:style w:type="character" w:customStyle="1" w:styleId="29">
    <w:name w:val="页脚 Char"/>
    <w:link w:val="11"/>
    <w:autoRedefine/>
    <w:semiHidden/>
    <w:qFormat/>
    <w:uiPriority w:val="99"/>
    <w:rPr>
      <w:sz w:val="18"/>
      <w:szCs w:val="18"/>
    </w:rPr>
  </w:style>
  <w:style w:type="character" w:customStyle="1" w:styleId="30">
    <w:name w:val="批注框文本 Char"/>
    <w:link w:val="10"/>
    <w:autoRedefine/>
    <w:semiHidden/>
    <w:qFormat/>
    <w:uiPriority w:val="99"/>
    <w:rPr>
      <w:sz w:val="18"/>
      <w:szCs w:val="18"/>
    </w:rPr>
  </w:style>
  <w:style w:type="character" w:customStyle="1" w:styleId="31">
    <w:name w:val="标题 3 Char"/>
    <w:link w:val="4"/>
    <w:autoRedefine/>
    <w:qFormat/>
    <w:uiPriority w:val="9"/>
    <w:rPr>
      <w:rFonts w:ascii="仿宋" w:hAnsi="仿宋" w:eastAsia="仿宋_GB2312" w:cs="Times New Roman"/>
      <w:bCs/>
      <w:sz w:val="28"/>
      <w:szCs w:val="32"/>
    </w:rPr>
  </w:style>
  <w:style w:type="character" w:customStyle="1" w:styleId="32">
    <w:name w:val="标题 2 Char"/>
    <w:link w:val="3"/>
    <w:autoRedefine/>
    <w:qFormat/>
    <w:uiPriority w:val="9"/>
    <w:rPr>
      <w:rFonts w:ascii="Cambria" w:hAnsi="Cambria" w:eastAsia="仿宋_GB2312"/>
      <w:b/>
      <w:bCs/>
      <w:sz w:val="30"/>
      <w:szCs w:val="32"/>
    </w:rPr>
  </w:style>
  <w:style w:type="character" w:customStyle="1" w:styleId="33">
    <w:name w:val="标题 1 Char"/>
    <w:link w:val="2"/>
    <w:autoRedefine/>
    <w:qFormat/>
    <w:uiPriority w:val="9"/>
    <w:rPr>
      <w:rFonts w:eastAsia="仿宋_GB2312"/>
      <w:b/>
      <w:bCs/>
      <w:kern w:val="44"/>
      <w:sz w:val="24"/>
      <w:szCs w:val="44"/>
    </w:rPr>
  </w:style>
  <w:style w:type="paragraph" w:customStyle="1" w:styleId="34">
    <w:name w:val="Default"/>
    <w:autoRedefine/>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paragraph" w:customStyle="1" w:styleId="35">
    <w:name w:val="1"/>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8961</Words>
  <Characters>9414</Characters>
  <Lines>50</Lines>
  <Paragraphs>14</Paragraphs>
  <TotalTime>8</TotalTime>
  <ScaleCrop>false</ScaleCrop>
  <LinksUpToDate>false</LinksUpToDate>
  <CharactersWithSpaces>10326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2024-06-21T08:58:22Z</cp:lastPrinted>
  <dcterms:modified xsi:type="dcterms:W3CDTF">2024-06-21T09:04:21Z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B5695BCFD0374531AA7FACE9C5E19E6F_13</vt:lpwstr>
  </property>
</Properties>
</file>