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700737"/>
      <w:bookmarkStart w:id="1" w:name="_Toc343692939"/>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蒸压加气混凝土板（ALC）采购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Pr>
        <w:rPr>
          <w:rFonts w:hint="eastAsia"/>
          <w:lang w:eastAsia="zh-CN"/>
        </w:rPr>
      </w:pPr>
      <w:r>
        <w:rPr>
          <w:rFonts w:hint="eastAsia"/>
          <w:lang w:eastAsia="zh-CN"/>
        </w:rPr>
        <w:t>、</w:t>
      </w:r>
    </w:p>
    <w:p>
      <w:pPr>
        <w:rPr>
          <w:rFonts w:hint="eastAsia"/>
          <w:lang w:eastAsia="zh-CN"/>
        </w:rPr>
      </w:pPr>
    </w:p>
    <w:p>
      <w:pPr>
        <w:pStyle w:val="28"/>
        <w:numPr>
          <w:ilvl w:val="0"/>
          <w:numId w:val="1"/>
        </w:numPr>
        <w:spacing w:line="360" w:lineRule="exact"/>
        <w:ind w:firstLineChars="0"/>
        <w:jc w:val="center"/>
        <w:outlineLvl w:val="0"/>
        <w:rPr>
          <w:rFonts w:hint="default" w:ascii="楷体" w:hAnsi="楷体" w:eastAsia="楷体" w:cs="楷体"/>
          <w:sz w:val="24"/>
          <w:szCs w:val="24"/>
          <w:lang w:val="en-US"/>
        </w:rPr>
      </w:pPr>
      <w:r>
        <w:rPr>
          <w:rFonts w:hint="eastAsia" w:ascii="楷体" w:hAnsi="楷体" w:eastAsia="楷体" w:cs="楷体"/>
          <w:b/>
          <w:bCs/>
          <w:sz w:val="24"/>
          <w:szCs w:val="24"/>
          <w:lang w:val="en-US" w:eastAsia="zh-CN"/>
        </w:rPr>
        <w:t>公开询价报价须知</w:t>
      </w:r>
    </w:p>
    <w:tbl>
      <w:tblPr>
        <w:tblStyle w:val="20"/>
        <w:tblpPr w:leftFromText="180" w:rightFromText="180" w:vertAnchor="text" w:horzAnchor="page" w:tblpX="1785" w:tblpY="296"/>
        <w:tblOverlap w:val="never"/>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蒸压加气混凝土板（ALC）</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2024年7月24日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截至2024年7月</w:t>
            </w:r>
            <w:bookmarkStart w:id="18" w:name="_GoBack"/>
            <w:bookmarkEnd w:id="18"/>
            <w:r>
              <w:rPr>
                <w:rFonts w:hint="eastAsia" w:ascii="楷体" w:hAnsi="楷体" w:eastAsia="楷体" w:cs="楷体"/>
                <w:sz w:val="24"/>
                <w:szCs w:val="24"/>
                <w:highlight w:val="none"/>
                <w:lang w:val="en-US" w:eastAsia="zh-CN"/>
              </w:rPr>
              <w:t>26日上午12：00电子版文件（PDF格式）发送至指定电子邮箱luhaimygs@hnyplh.com。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周工/0898-28810376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9"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评审方法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1.报价单位要求为生产厂家，须提供生产能力的相关证明（蒸压加气混凝土板（ALC），</w:t>
            </w:r>
            <w:r>
              <w:rPr>
                <w:rFonts w:hint="eastAsia" w:ascii="楷体" w:hAnsi="楷体" w:eastAsia="楷体" w:cs="楷体"/>
                <w:color w:val="auto"/>
                <w:sz w:val="24"/>
                <w:szCs w:val="24"/>
                <w:highlight w:val="none"/>
                <w:lang w:val="en-US" w:eastAsia="zh-CN"/>
              </w:rPr>
              <w:t>以立方米计算，若生产线设计产能为平方米则需折算为立方米，即“平方米×厚度”</w:t>
            </w:r>
            <w:r>
              <w:rPr>
                <w:rFonts w:hint="eastAsia" w:ascii="楷体" w:hAnsi="楷体" w:eastAsia="楷体" w:cs="楷体"/>
                <w:sz w:val="24"/>
                <w:szCs w:val="24"/>
                <w:highlight w:val="none"/>
                <w:lang w:val="en-US" w:eastAsia="zh-CN"/>
              </w:rPr>
              <w:t>）</w:t>
            </w:r>
            <w:r>
              <w:rPr>
                <w:rFonts w:hint="eastAsia" w:ascii="楷体" w:hAnsi="楷体" w:eastAsia="楷体" w:cs="楷体"/>
                <w:b/>
                <w:bCs/>
                <w:sz w:val="24"/>
                <w:szCs w:val="24"/>
                <w:highlight w:val="none"/>
                <w:lang w:val="en-US" w:eastAsia="zh-CN"/>
              </w:rPr>
              <w:t>不提供即未通过符合性评审；</w:t>
            </w:r>
            <w:r>
              <w:rPr>
                <w:rFonts w:hint="eastAsia" w:ascii="楷体" w:hAnsi="楷体" w:eastAsia="楷体" w:cs="楷体"/>
                <w:sz w:val="24"/>
                <w:szCs w:val="24"/>
                <w:highlight w:val="none"/>
                <w:lang w:val="en-US" w:eastAsia="zh-CN"/>
              </w:rPr>
              <w:t>证明材料：提供生产线设计产能相关证明材料复印件加盖公章。</w:t>
            </w:r>
          </w:p>
          <w:p>
            <w:pPr>
              <w:spacing w:line="360" w:lineRule="atLeast"/>
              <w:jc w:val="left"/>
              <w:rPr>
                <w:rFonts w:hint="default" w:ascii="楷体" w:hAnsi="楷体" w:eastAsia="楷体" w:cs="楷体"/>
                <w:sz w:val="24"/>
                <w:szCs w:val="24"/>
                <w:highlight w:val="none"/>
                <w:lang w:val="en-US" w:eastAsia="zh-CN"/>
              </w:rPr>
            </w:pPr>
            <w:r>
              <w:rPr>
                <w:rFonts w:hint="eastAsia" w:ascii="宋体" w:hAnsi="宋体" w:eastAsia="宋体" w:cs="宋体"/>
                <w:b/>
                <w:bCs/>
                <w:color w:val="auto"/>
                <w:sz w:val="21"/>
                <w:highlight w:val="none"/>
                <w:lang w:eastAsia="zh-CN"/>
              </w:rPr>
              <w:t>注：投标</w:t>
            </w:r>
            <w:r>
              <w:rPr>
                <w:rFonts w:hint="eastAsia" w:ascii="宋体" w:hAnsi="宋体" w:eastAsia="宋体" w:cs="宋体"/>
                <w:b/>
                <w:bCs/>
                <w:color w:val="auto"/>
                <w:sz w:val="21"/>
                <w:highlight w:val="none"/>
                <w:lang w:val="en-US" w:eastAsia="zh-CN"/>
              </w:rPr>
              <w:t>单位中标后，采购人将进行实地考察，若与报价文件提供的生产线设计产能相关证明材料不符合，将取消成交资格。</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2.符合第三章报价书（格式）要求。</w:t>
            </w:r>
          </w:p>
          <w:p>
            <w:pPr>
              <w:spacing w:line="360" w:lineRule="atLeast"/>
              <w:jc w:val="left"/>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bCs/>
                <w:sz w:val="24"/>
                <w:szCs w:val="24"/>
                <w:lang w:val="en-US" w:eastAsia="zh-CN"/>
              </w:rPr>
              <w:t>儋州市项目指定地点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9"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成交</w:t>
            </w:r>
            <w:r>
              <w:rPr>
                <w:rFonts w:hint="default" w:ascii="楷体" w:hAnsi="楷体" w:eastAsia="楷体" w:cs="楷体"/>
                <w:sz w:val="24"/>
                <w:szCs w:val="24"/>
                <w:highlight w:val="none"/>
                <w:lang w:val="en-US" w:eastAsia="zh-CN"/>
              </w:rPr>
              <w:t>金额的</w:t>
            </w:r>
            <w:r>
              <w:rPr>
                <w:rFonts w:hint="eastAsia" w:ascii="楷体" w:hAnsi="楷体" w:eastAsia="楷体" w:cs="楷体"/>
                <w:sz w:val="24"/>
                <w:szCs w:val="24"/>
                <w:highlight w:val="none"/>
                <w:lang w:val="en-US" w:eastAsia="zh-CN"/>
              </w:rPr>
              <w:t>3</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en-US" w:eastAsia="zh-CN"/>
              </w:rPr>
              <w:t>成交</w:t>
            </w:r>
            <w:r>
              <w:rPr>
                <w:rFonts w:hint="default" w:ascii="楷体" w:hAnsi="楷体" w:eastAsia="楷体" w:cs="楷体"/>
                <w:sz w:val="24"/>
                <w:szCs w:val="24"/>
                <w:highlight w:val="none"/>
                <w:lang w:val="en-US" w:eastAsia="zh-CN"/>
              </w:rPr>
              <w:t>通知书发出之后7个日历天内；履约保证金的形式：1.银行转账形式缴纳</w:t>
            </w:r>
            <w:r>
              <w:rPr>
                <w:rFonts w:hint="eastAsia" w:ascii="楷体" w:hAnsi="楷体" w:eastAsia="楷体" w:cs="楷体"/>
                <w:sz w:val="24"/>
                <w:szCs w:val="24"/>
                <w:highlight w:val="none"/>
                <w:lang w:val="en-US" w:eastAsia="zh-CN"/>
              </w:rPr>
              <w:t>；</w:t>
            </w:r>
            <w:r>
              <w:rPr>
                <w:rFonts w:hint="default" w:ascii="楷体" w:hAnsi="楷体" w:eastAsia="楷体" w:cs="楷体"/>
                <w:sz w:val="24"/>
                <w:szCs w:val="24"/>
                <w:highlight w:val="none"/>
                <w:lang w:val="en-US" w:eastAsia="zh-CN"/>
              </w:rPr>
              <w:t>2.银行履约保函的形式缴纳。若采用银行保函，则须满足以下条件：则该保函性质为见索即付，有效期间需覆盖至项目竣工验收完毕，争议解决地为受益人所在地，可在开具银行的官网或授权的app及微信客户端可在线查验。以此作为</w:t>
            </w:r>
            <w:r>
              <w:rPr>
                <w:rFonts w:hint="eastAsia" w:ascii="楷体" w:hAnsi="楷体" w:eastAsia="楷体" w:cs="楷体"/>
                <w:sz w:val="24"/>
                <w:szCs w:val="24"/>
                <w:highlight w:val="none"/>
                <w:lang w:val="en-US" w:eastAsia="zh-CN"/>
              </w:rPr>
              <w:t>供货方</w:t>
            </w:r>
            <w:r>
              <w:rPr>
                <w:rFonts w:hint="default" w:ascii="楷体" w:hAnsi="楷体" w:eastAsia="楷体" w:cs="楷体"/>
                <w:sz w:val="24"/>
                <w:szCs w:val="24"/>
                <w:highlight w:val="none"/>
                <w:lang w:val="en-US" w:eastAsia="zh-CN"/>
              </w:rPr>
              <w:t>诚信、全面、正确履行全部合同义务的保证，如发生违约扣款情况，</w:t>
            </w:r>
            <w:r>
              <w:rPr>
                <w:rFonts w:hint="eastAsia" w:ascii="楷体" w:hAnsi="楷体" w:eastAsia="楷体" w:cs="楷体"/>
                <w:sz w:val="24"/>
                <w:szCs w:val="24"/>
                <w:highlight w:val="none"/>
                <w:lang w:val="en-US" w:eastAsia="zh-CN"/>
              </w:rPr>
              <w:t>我</w:t>
            </w:r>
            <w:r>
              <w:rPr>
                <w:rFonts w:hint="default" w:ascii="楷体" w:hAnsi="楷体" w:eastAsia="楷体" w:cs="楷体"/>
                <w:sz w:val="24"/>
                <w:szCs w:val="24"/>
                <w:highlight w:val="none"/>
                <w:lang w:val="en-US" w:eastAsia="zh-CN"/>
              </w:rPr>
              <w:t>方就收取的履约保证金在供货完毕且办理完总结算签字确认后30个工作日内，扣除违约金无息返还；如有其他情况，双方协商确定返还时间。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采购人对成交候选人进行现场考察，并有权对成交候选人进行综合评判是否具备供货和质量保障能力。若不满足，则取消成交候选人资格。</w:t>
            </w:r>
          </w:p>
        </w:tc>
      </w:tr>
    </w:tbl>
    <w:p>
      <w:pPr>
        <w:rPr>
          <w:rFonts w:hint="eastAsia" w:ascii="楷体_GB2312" w:hAnsi="楷体_GB2312" w:eastAsia="楷体_GB2312" w:cs="楷体_GB2312"/>
          <w:szCs w:val="24"/>
        </w:rPr>
      </w:pPr>
    </w:p>
    <w:bookmarkEnd w:id="0"/>
    <w:bookmarkEnd w:id="1"/>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2" w:name="_Toc343700738"/>
      <w:bookmarkStart w:id="3" w:name="_Toc343692940"/>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2.报价单位要求为生产厂家。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我司有权选择与</w:t>
      </w:r>
      <w:r>
        <w:rPr>
          <w:rFonts w:hint="eastAsia" w:ascii="楷体" w:hAnsi="楷体" w:eastAsia="楷体" w:cs="楷体"/>
          <w:bCs/>
          <w:sz w:val="24"/>
          <w:szCs w:val="24"/>
        </w:rPr>
        <w:t>备选单位签订合同。</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人须知</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3、报价书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sz w:val="24"/>
          <w:szCs w:val="24"/>
          <w:u w:val="single"/>
          <w:lang w:val="en-US" w:eastAsia="zh-CN"/>
        </w:rPr>
        <w:t>蒸压加气混凝土板（ALC）</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sz w:val="24"/>
          <w:szCs w:val="24"/>
          <w:u w:val="single"/>
          <w:lang w:val="en-US" w:eastAsia="zh-CN"/>
        </w:rPr>
        <w:t>蒸压加气混凝土板（ALC）</w:t>
      </w:r>
      <w:r>
        <w:rPr>
          <w:rFonts w:hint="eastAsia" w:ascii="楷体" w:hAnsi="楷体" w:eastAsia="楷体" w:cs="楷体"/>
          <w:i w:val="0"/>
          <w:caps w:val="0"/>
          <w:color w:val="000000"/>
          <w:spacing w:val="0"/>
          <w:sz w:val="24"/>
          <w:szCs w:val="24"/>
        </w:rPr>
        <w:t>的供应（包括供应商出售该物资应缴纳税金及一切税费、装</w:t>
      </w:r>
      <w:r>
        <w:rPr>
          <w:rFonts w:hint="eastAsia" w:ascii="楷体" w:hAnsi="楷体" w:eastAsia="楷体" w:cs="楷体"/>
          <w:i w:val="0"/>
          <w:caps w:val="0"/>
          <w:color w:val="000000"/>
          <w:spacing w:val="0"/>
          <w:sz w:val="24"/>
          <w:szCs w:val="24"/>
          <w:lang w:val="en-US" w:eastAsia="zh-CN"/>
        </w:rPr>
        <w:t>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692942"/>
      <w:bookmarkStart w:id="7" w:name="_Toc343700740"/>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送货地点：儋州市项目指定地点</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按照第三章报价书（格式）要求提供，内容包括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4、无重大违法记录声明函</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5、生产线设计产能相关证明材料</w:t>
      </w:r>
    </w:p>
    <w:p>
      <w:pPr>
        <w:spacing w:line="500" w:lineRule="exact"/>
        <w:ind w:left="0" w:leftChars="0" w:right="0" w:rightChars="0" w:firstLine="482" w:firstLineChars="200"/>
        <w:jc w:val="left"/>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6、项目驻场人员配备要求</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7、报价单位认为需要提供的其他文件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投标时无需厂家提供授权书，中标后需提供厂家授权书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Style w:val="3"/>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
          <w:bCs w:val="0"/>
          <w:sz w:val="24"/>
          <w:szCs w:val="24"/>
          <w:lang w:val="en-US" w:eastAsia="zh-CN"/>
        </w:rPr>
        <w:t>报价单位</w:t>
      </w:r>
      <w:r>
        <w:rPr>
          <w:rFonts w:hint="eastAsia" w:ascii="楷体" w:hAnsi="楷体" w:eastAsia="楷体" w:cs="楷体"/>
          <w:b/>
          <w:bCs w:val="0"/>
          <w:sz w:val="24"/>
          <w:szCs w:val="24"/>
        </w:rPr>
        <w:t>的报价应为以“</w:t>
      </w:r>
      <w:r>
        <w:rPr>
          <w:rFonts w:hint="eastAsia" w:ascii="楷体" w:hAnsi="楷体" w:eastAsia="楷体" w:cs="楷体"/>
          <w:b/>
          <w:bCs w:val="0"/>
          <w:sz w:val="24"/>
          <w:szCs w:val="24"/>
          <w:lang w:val="en-US" w:eastAsia="zh-CN"/>
        </w:rPr>
        <w:t>平方米</w:t>
      </w:r>
      <w:r>
        <w:rPr>
          <w:rFonts w:hint="eastAsia" w:ascii="楷体" w:hAnsi="楷体" w:eastAsia="楷体" w:cs="楷体"/>
          <w:b/>
          <w:bCs w:val="0"/>
          <w:sz w:val="24"/>
          <w:szCs w:val="24"/>
        </w:rPr>
        <w:t>”为单位的单价。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平方米</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r>
        <w:rPr>
          <w:rFonts w:hint="eastAsia" w:ascii="楷体" w:hAnsi="楷体" w:eastAsia="楷体" w:cs="楷体"/>
          <w:sz w:val="24"/>
          <w:szCs w:val="24"/>
        </w:rPr>
        <w:t>。</w:t>
      </w:r>
      <w:bookmarkStart w:id="10" w:name="_Toc343700748"/>
      <w:bookmarkStart w:id="11" w:name="_Toc343692950"/>
      <w:r>
        <w:rPr>
          <w:rFonts w:hint="eastAsia" w:ascii="楷体" w:hAnsi="楷体" w:eastAsia="楷体" w:cs="楷体"/>
          <w:sz w:val="24"/>
          <w:szCs w:val="24"/>
        </w:rPr>
        <w:br w:type="textWrapping"/>
      </w:r>
    </w:p>
    <w:bookmarkEnd w:id="10"/>
    <w:bookmarkEnd w:id="11"/>
    <w:p>
      <w:pPr>
        <w:rPr>
          <w:rFonts w:hint="eastAsia" w:ascii="楷体" w:hAnsi="楷体" w:eastAsia="楷体" w:cs="楷体"/>
          <w:sz w:val="24"/>
          <w:szCs w:val="24"/>
          <w:lang w:val="en-US" w:eastAsia="zh-CN"/>
        </w:rPr>
      </w:pPr>
      <w:bookmarkStart w:id="12" w:name="_Toc343700749"/>
      <w:bookmarkStart w:id="13" w:name="_Toc343692951"/>
    </w:p>
    <w:p>
      <w:pPr>
        <w:numPr>
          <w:ilvl w:val="0"/>
          <w:numId w:val="1"/>
        </w:numPr>
        <w:ind w:left="765" w:leftChars="0" w:hanging="765" w:firstLineChars="0"/>
        <w:jc w:val="center"/>
        <w:outlineLvl w:val="0"/>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合同</w:t>
      </w:r>
    </w:p>
    <w:p>
      <w:pPr>
        <w:numPr>
          <w:ilvl w:val="0"/>
          <w:numId w:val="0"/>
        </w:numPr>
        <w:ind w:leftChars="0"/>
        <w:jc w:val="both"/>
        <w:rPr>
          <w:rFonts w:hint="eastAsia" w:ascii="楷体" w:hAnsi="楷体" w:eastAsia="楷体" w:cs="楷体"/>
          <w:b/>
          <w:bCs/>
          <w:kern w:val="44"/>
          <w:sz w:val="24"/>
          <w:szCs w:val="24"/>
          <w:lang w:val="en-US" w:eastAsia="zh-CN" w:bidi="ar-SA"/>
        </w:rPr>
      </w:pPr>
    </w:p>
    <w:p>
      <w:pPr>
        <w:numPr>
          <w:ilvl w:val="0"/>
          <w:numId w:val="0"/>
        </w:numPr>
        <w:ind w:leftChars="0"/>
        <w:jc w:val="both"/>
        <w:rPr>
          <w:rFonts w:hint="eastAsia" w:ascii="楷体" w:hAnsi="楷体" w:eastAsia="楷体" w:cs="楷体"/>
          <w:b/>
          <w:bCs/>
          <w:kern w:val="44"/>
          <w:sz w:val="24"/>
          <w:szCs w:val="24"/>
          <w:lang w:val="en-US" w:eastAsia="zh-CN" w:bidi="ar-SA"/>
        </w:rPr>
      </w:pPr>
    </w:p>
    <w:p>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pPr>
        <w:jc w:val="center"/>
        <w:rPr>
          <w:rFonts w:hint="eastAsia" w:ascii="仿宋" w:hAnsi="仿宋" w:eastAsia="仿宋"/>
          <w:b/>
          <w:bCs/>
          <w:sz w:val="44"/>
          <w:szCs w:val="44"/>
        </w:rPr>
      </w:pPr>
      <w:r>
        <w:rPr>
          <w:rFonts w:hint="eastAsia" w:ascii="宋体" w:hAnsi="宋体" w:cs="Times New Roman"/>
          <w:b/>
          <w:bCs/>
          <w:sz w:val="44"/>
          <w:szCs w:val="44"/>
          <w:lang w:val="en-US" w:eastAsia="zh-CN"/>
        </w:rPr>
        <w:t>蒸压加气混凝土板（ALC）</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jc w:val="center"/>
        <w:rPr>
          <w:rFonts w:hint="eastAsia" w:ascii="宋体" w:hAnsi="宋体" w:eastAsia="宋体" w:cs="Times New Roman"/>
          <w:b/>
          <w:bCs/>
          <w:sz w:val="44"/>
          <w:szCs w:val="44"/>
        </w:rPr>
      </w:pPr>
    </w:p>
    <w:p>
      <w:pPr>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合同编号：</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4" w:name="_Toc145343938"/>
      <w:bookmarkStart w:id="15" w:name="_Toc145350959"/>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6" w:name="_Toc145350960"/>
      <w:bookmarkStart w:id="17" w:name="_Toc145343939"/>
      <w:r>
        <w:rPr>
          <w:rFonts w:hint="eastAsia" w:ascii="仿宋" w:hAnsi="仿宋" w:eastAsia="仿宋"/>
          <w:b/>
          <w:bCs/>
          <w:sz w:val="24"/>
          <w:szCs w:val="24"/>
        </w:rPr>
        <w:t>法定代表人：</w:t>
      </w:r>
      <w:bookmarkEnd w:id="16"/>
      <w:bookmarkEnd w:id="17"/>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cs="Times New Roman"/>
          <w:sz w:val="24"/>
          <w:szCs w:val="24"/>
          <w:u w:val="single"/>
          <w:lang w:val="en-US" w:eastAsia="zh-CN"/>
        </w:rPr>
        <w:t>蒸压加气混凝土板（ALC）</w:t>
      </w:r>
      <w:r>
        <w:rPr>
          <w:rFonts w:hint="eastAsia" w:ascii="仿宋" w:hAnsi="仿宋" w:eastAsia="仿宋"/>
          <w:sz w:val="24"/>
          <w:szCs w:val="24"/>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20"/>
        <w:tblW w:w="9313" w:type="dxa"/>
        <w:tblInd w:w="93" w:type="dxa"/>
        <w:tblLayout w:type="fixed"/>
        <w:tblCellMar>
          <w:top w:w="0" w:type="dxa"/>
          <w:left w:w="108" w:type="dxa"/>
          <w:bottom w:w="0" w:type="dxa"/>
          <w:right w:w="108" w:type="dxa"/>
        </w:tblCellMar>
      </w:tblPr>
      <w:tblGrid>
        <w:gridCol w:w="495"/>
        <w:gridCol w:w="1306"/>
        <w:gridCol w:w="1234"/>
        <w:gridCol w:w="615"/>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95"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06"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34"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1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51"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snapToGrid w:val="0"/>
                <w:color w:val="000000"/>
                <w:kern w:val="0"/>
                <w:sz w:val="21"/>
                <w:szCs w:val="21"/>
                <w:highlight w:val="none"/>
                <w:lang w:val="en-US" w:eastAsia="zh-CN" w:bidi="ar-SA"/>
              </w:rPr>
              <w:t>δ100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Arial" w:hAnsi="Arial" w:eastAsia="宋体" w:cs="Arial"/>
                <w:i w:val="0"/>
                <w:iCs w:val="0"/>
                <w:color w:val="000000"/>
                <w:kern w:val="0"/>
                <w:sz w:val="18"/>
                <w:szCs w:val="18"/>
                <w:u w:val="none"/>
                <w:lang w:val="en-US" w:eastAsia="zh-CN" w:bidi="ar"/>
              </w:rPr>
              <w:t>2800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Arial" w:hAnsi="Arial" w:eastAsia="宋体" w:cs="Arial"/>
                <w:i w:val="0"/>
                <w:iCs w:val="0"/>
                <w:color w:val="000000"/>
                <w:kern w:val="0"/>
                <w:sz w:val="18"/>
                <w:szCs w:val="18"/>
                <w:u w:val="none"/>
                <w:lang w:val="en-US" w:eastAsia="zh-CN" w:bidi="ar"/>
              </w:rPr>
              <w:t>1800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δ220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snapToGrid w:val="0"/>
                <w:color w:val="000000"/>
                <w:kern w:val="0"/>
                <w:sz w:val="21"/>
                <w:szCs w:val="21"/>
                <w:highlight w:val="none"/>
                <w:lang w:val="en-US" w:eastAsia="zh-CN" w:bidi="ar-SA"/>
              </w:rPr>
            </w:pPr>
            <w:r>
              <w:rPr>
                <w:rFonts w:hint="default" w:ascii="Arial" w:hAnsi="Arial" w:eastAsia="宋体" w:cs="Arial"/>
                <w:i w:val="0"/>
                <w:iCs w:val="0"/>
                <w:color w:val="000000"/>
                <w:kern w:val="0"/>
                <w:sz w:val="18"/>
                <w:szCs w:val="18"/>
                <w:u w:val="none"/>
                <w:lang w:val="en-US" w:eastAsia="zh-CN" w:bidi="ar"/>
              </w:rPr>
              <w:t>300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蒸压加气混凝土板（ALC）</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bidi="ar-SA"/>
              </w:rPr>
              <w:t>δ240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highlight w:val="none"/>
                <w:lang w:val="en-US" w:eastAsia="zh-CN" w:bidi="ar-SA"/>
              </w:rPr>
            </w:pPr>
            <w:r>
              <w:rPr>
                <w:rFonts w:hint="default" w:ascii="Arial" w:hAnsi="Arial" w:eastAsia="宋体" w:cs="Arial"/>
                <w:i w:val="0"/>
                <w:iCs w:val="0"/>
                <w:color w:val="000000"/>
                <w:kern w:val="0"/>
                <w:sz w:val="18"/>
                <w:szCs w:val="18"/>
                <w:u w:val="none"/>
                <w:lang w:val="en-US" w:eastAsia="zh-CN" w:bidi="ar"/>
              </w:rPr>
              <w:t>500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106"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62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rPr>
                <w:rFonts w:hint="eastAsia" w:ascii="仿宋" w:hAnsi="仿宋" w:eastAsia="仿宋" w:cs="仿宋"/>
                <w:color w:val="auto"/>
              </w:rPr>
            </w:pPr>
            <w:r>
              <w:rPr>
                <w:rFonts w:hint="eastAsia" w:ascii="仿宋" w:hAnsi="仿宋" w:eastAsia="仿宋" w:cs="仿宋"/>
                <w:color w:val="auto"/>
              </w:rPr>
              <w:t>以上综合价格已包括采购期间的采购费用、增值税税金、合理利润、包装费、各类运杂费、过江过路过桥费、装卸费等运抵至甲方指定交货点的综合费用。</w:t>
            </w:r>
          </w:p>
        </w:tc>
      </w:tr>
    </w:tbl>
    <w:p>
      <w:pPr>
        <w:numPr>
          <w:ilvl w:val="1"/>
          <w:numId w:val="2"/>
        </w:numPr>
        <w:spacing w:line="560" w:lineRule="exact"/>
        <w:ind w:left="0" w:firstLine="0"/>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合同结算单价、合同暂估总金额以及最终结算总价都已包括货物价款、供应商出售该物资应缴纳税金及一切税费、包装费、保险费、运输费、</w:t>
      </w:r>
      <w:r>
        <w:rPr>
          <w:rFonts w:hint="eastAsia" w:ascii="仿宋" w:hAnsi="仿宋" w:eastAsia="仿宋" w:cs="仿宋"/>
          <w:color w:val="000000"/>
          <w:sz w:val="24"/>
          <w:szCs w:val="24"/>
          <w:highlight w:val="none"/>
          <w:lang w:val="en-US" w:eastAsia="zh-CN"/>
        </w:rPr>
        <w:t>装卸车</w:t>
      </w:r>
      <w:r>
        <w:rPr>
          <w:rFonts w:hint="eastAsia" w:ascii="仿宋" w:hAnsi="仿宋" w:eastAsia="仿宋" w:cs="仿宋"/>
          <w:color w:val="000000"/>
          <w:sz w:val="24"/>
          <w:szCs w:val="24"/>
          <w:highlight w:val="none"/>
        </w:rPr>
        <w:t>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以及其他运抵至甲方指定交货地点的一切费用；包括售后服务以及市场价格涨幅等的各类风险费用；以及其他所有相关服务费用。</w:t>
      </w:r>
    </w:p>
    <w:p>
      <w:pPr>
        <w:pStyle w:val="4"/>
        <w:keepNext/>
        <w:keepLines/>
        <w:pageBreakBefore w:val="0"/>
        <w:widowControl/>
        <w:numPr>
          <w:ilvl w:val="1"/>
          <w:numId w:val="2"/>
        </w:numPr>
        <w:tabs>
          <w:tab w:val="left" w:pos="992"/>
        </w:tabs>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仿宋" w:hAnsi="仿宋" w:eastAsia="仿宋"/>
          <w:sz w:val="24"/>
          <w:szCs w:val="24"/>
        </w:rPr>
      </w:pPr>
      <w:r>
        <w:rPr>
          <w:rFonts w:hint="eastAsia" w:ascii="仿宋" w:hAnsi="仿宋" w:eastAsia="仿宋" w:cs="仿宋"/>
          <w:color w:val="000000"/>
          <w:sz w:val="24"/>
          <w:szCs w:val="24"/>
          <w:highlight w:val="none"/>
          <w:lang w:val="en-US" w:eastAsia="zh-CN"/>
        </w:rPr>
        <w:t>甲方收取本合同含税总价款3%，即</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）作为合同履约保证金，成交通知书发出之后7个日历天内，</w:t>
      </w:r>
      <w:r>
        <w:rPr>
          <w:rFonts w:hint="eastAsia" w:ascii="仿宋" w:hAnsi="仿宋" w:eastAsia="仿宋" w:cs="仿宋"/>
          <w:b w:val="0"/>
          <w:bCs w:val="0"/>
          <w:color w:val="auto"/>
          <w:kern w:val="0"/>
          <w:sz w:val="24"/>
          <w:szCs w:val="22"/>
          <w:highlight w:val="none"/>
          <w:lang w:eastAsia="zh-CN"/>
        </w:rPr>
        <w:t>乙方可采用以下两种形式缴纳履约保证金1.银行转账形式缴纳</w:t>
      </w:r>
      <w:r>
        <w:rPr>
          <w:rFonts w:hint="eastAsia" w:eastAsia="仿宋" w:cs="仿宋"/>
          <w:b w:val="0"/>
          <w:bCs w:val="0"/>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lang w:eastAsia="zh-CN"/>
        </w:rPr>
        <w:t>2.银行履约保函的形式缴纳。若采用银行保函，则须满足以下条件：则该保函性质为见索即付，有效期间需覆盖至项目竣工验收完毕，争议解决地为受益人所在地，可在开具银行的官网或授权的app及微信客户端可在线查验。</w:t>
      </w:r>
      <w:r>
        <w:rPr>
          <w:rFonts w:hint="eastAsia" w:ascii="仿宋" w:hAnsi="仿宋" w:eastAsia="仿宋" w:cs="仿宋"/>
          <w:b w:val="0"/>
          <w:bCs w:val="0"/>
          <w:color w:val="auto"/>
          <w:kern w:val="0"/>
          <w:sz w:val="24"/>
          <w:szCs w:val="22"/>
          <w:highlight w:val="none"/>
          <w:lang w:val="en-US" w:eastAsia="zh-CN"/>
        </w:rPr>
        <w:t>以此</w:t>
      </w:r>
      <w:r>
        <w:rPr>
          <w:rFonts w:hint="eastAsia" w:ascii="仿宋" w:hAnsi="仿宋" w:eastAsia="仿宋" w:cs="仿宋"/>
          <w:b w:val="0"/>
          <w:bCs w:val="0"/>
          <w:color w:val="auto"/>
          <w:kern w:val="0"/>
          <w:sz w:val="24"/>
          <w:szCs w:val="22"/>
          <w:highlight w:val="none"/>
        </w:rPr>
        <w:t>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firstLine="0"/>
        <w:jc w:val="both"/>
        <w:textAlignment w:val="auto"/>
        <w:rPr>
          <w:rFonts w:hint="eastAsia" w:ascii="仿宋" w:hAnsi="仿宋" w:eastAsia="仿宋"/>
          <w:b/>
          <w:bCs/>
          <w:sz w:val="24"/>
          <w:szCs w:val="24"/>
        </w:rPr>
      </w:pPr>
      <w:r>
        <w:rPr>
          <w:rFonts w:hint="eastAsia" w:ascii="仿宋" w:hAnsi="仿宋" w:eastAsia="仿宋"/>
          <w:b/>
          <w:bCs/>
          <w:sz w:val="24"/>
          <w:szCs w:val="24"/>
        </w:rPr>
        <w:t>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 xml:space="preserve">2.1  </w:t>
      </w:r>
      <w:r>
        <w:rPr>
          <w:rFonts w:hint="eastAsia" w:ascii="仿宋" w:hAnsi="仿宋" w:eastAsia="仿宋"/>
          <w:sz w:val="24"/>
          <w:szCs w:val="24"/>
        </w:rPr>
        <w:t>相关标准规范：</w:t>
      </w: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《蒸压加气混凝土板</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GB/T15762-2020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w:t>
      </w:r>
      <w:r>
        <w:rPr>
          <w:rFonts w:hint="eastAsia" w:ascii="仿宋" w:hAnsi="仿宋" w:eastAsia="仿宋" w:cs="Times New Roman"/>
          <w:sz w:val="24"/>
          <w:szCs w:val="24"/>
          <w:lang w:val="en-US" w:eastAsia="zh-CN"/>
        </w:rPr>
        <w:t>GB/T11969-2020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绝热材料稳态热阻及有关特性的测定-防护热板法</w:t>
      </w:r>
      <w:r>
        <w:rPr>
          <w:rFonts w:hint="eastAsia" w:ascii="仿宋" w:hAnsi="仿宋" w:eastAsia="仿宋" w:cs="Times New Roman"/>
          <w:sz w:val="24"/>
          <w:szCs w:val="24"/>
          <w:lang w:val="en-US" w:eastAsia="zh-CN"/>
        </w:rPr>
        <w:t>GB/T10294-2008</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ascii="仿宋" w:hAnsi="仿宋" w:eastAsia="仿宋"/>
          <w:sz w:val="24"/>
          <w:szCs w:val="24"/>
        </w:rPr>
      </w:pPr>
      <w:r>
        <w:rPr>
          <w:rFonts w:hint="eastAsia" w:ascii="仿宋" w:hAnsi="仿宋" w:eastAsia="仿宋"/>
          <w:sz w:val="24"/>
          <w:szCs w:val="24"/>
          <w:lang w:val="en-US" w:eastAsia="zh-CN"/>
        </w:rPr>
        <w:t>2.2</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质量基本条件：质量等级及相关质量参数需具备检测资质的第三方机构检测报告。</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2.3</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材质证明书：根据甲方要求提供相关证明资料，不限于产品说明书。</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2.4</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服务质量：产品质量应严格符合工程项目的设计、</w:t>
      </w:r>
      <w:r>
        <w:rPr>
          <w:rFonts w:hint="eastAsia" w:ascii="仿宋" w:hAnsi="仿宋" w:eastAsia="仿宋"/>
          <w:sz w:val="24"/>
          <w:szCs w:val="24"/>
          <w:lang w:val="en-US" w:eastAsia="zh-CN"/>
        </w:rPr>
        <w:t>询价</w:t>
      </w:r>
      <w:r>
        <w:rPr>
          <w:rFonts w:hint="eastAsia" w:ascii="仿宋" w:hAnsi="仿宋" w:eastAsia="仿宋"/>
          <w:sz w:val="24"/>
          <w:szCs w:val="24"/>
        </w:rPr>
        <w:t>文件及有关工程施工及验收规范的要求，同时产品质量及服务必须满足甲方为保证工程质量而对质量、服务等方面提出的各种进一步要求。</w:t>
      </w:r>
    </w:p>
    <w:p>
      <w:pPr>
        <w:widowControl w:val="0"/>
        <w:numPr>
          <w:ilvl w:val="0"/>
          <w:numId w:val="0"/>
        </w:numPr>
        <w:autoSpaceDE w:val="0"/>
        <w:spacing w:after="0" w:line="560" w:lineRule="exact"/>
        <w:ind w:leftChars="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2.5  </w:t>
      </w:r>
      <w:r>
        <w:rPr>
          <w:rFonts w:hint="eastAsia" w:ascii="仿宋" w:hAnsi="仿宋" w:eastAsia="仿宋"/>
          <w:sz w:val="24"/>
          <w:szCs w:val="24"/>
          <w:highlight w:val="none"/>
        </w:rPr>
        <w:t>质量保证期</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2年</w:t>
      </w:r>
      <w:r>
        <w:rPr>
          <w:rFonts w:hint="eastAsia" w:ascii="仿宋" w:hAnsi="仿宋" w:eastAsia="仿宋" w:cs="Times New Roman"/>
          <w:sz w:val="24"/>
          <w:szCs w:val="24"/>
        </w:rPr>
        <w:t>。（</w:t>
      </w:r>
      <w:r>
        <w:rPr>
          <w:rFonts w:hint="eastAsia" w:ascii="仿宋" w:hAnsi="仿宋" w:eastAsia="仿宋"/>
          <w:sz w:val="24"/>
          <w:szCs w:val="24"/>
          <w:highlight w:val="none"/>
        </w:rPr>
        <w:t>从本工程竣工验收完毕之日起算）。</w:t>
      </w:r>
      <w:r>
        <w:rPr>
          <w:rFonts w:hint="eastAsia" w:ascii="仿宋" w:hAnsi="仿宋" w:eastAsia="仿宋"/>
          <w:sz w:val="24"/>
          <w:szCs w:val="24"/>
          <w:highlight w:val="none"/>
          <w:lang w:val="en-US" w:eastAsia="zh-CN"/>
        </w:rPr>
        <w:t>质量保证期内乙方免费提供质量缺陷货物的维修、更换等服务。乙方必须在接获甲方提出书面要求后3日内给予书面答复。如有必要，乙方在1日内应指派人员到现场，将有质量缺陷的货物进行维修、更换，一切费用由乙方承担。</w:t>
      </w:r>
    </w:p>
    <w:p>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widowControl w:val="0"/>
        <w:numPr>
          <w:ilvl w:val="0"/>
          <w:numId w:val="0"/>
        </w:numPr>
        <w:spacing w:after="0" w:line="560" w:lineRule="exact"/>
        <w:ind w:leftChars="0" w:firstLine="480" w:firstLineChars="200"/>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w:t>
      </w:r>
      <w:r>
        <w:rPr>
          <w:rFonts w:hint="eastAsia" w:ascii="仿宋" w:hAnsi="仿宋" w:eastAsia="仿宋" w:cs="Times New Roman"/>
          <w:color w:val="auto"/>
          <w:sz w:val="24"/>
          <w:szCs w:val="24"/>
        </w:rPr>
        <w:t>相关检测、货物退场等</w:t>
      </w:r>
      <w:r>
        <w:rPr>
          <w:rFonts w:hint="eastAsia" w:ascii="仿宋" w:hAnsi="仿宋" w:eastAsia="仿宋" w:cs="Times New Roman"/>
          <w:color w:val="auto"/>
          <w:sz w:val="24"/>
          <w:szCs w:val="24"/>
          <w:lang w:val="zh-CN"/>
        </w:rPr>
        <w:t>费用乙方承担。</w:t>
      </w:r>
    </w:p>
    <w:p>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儋州市项目指定地点</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）负责签字验收，乙方指定送货人员姓名：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，微信号：</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。任一方如要求变更上述人员及相关信息的，应在送货、交货前书面通知另一方，该通知函件作为本合同的补充条款，非合同约定人员签字的货单，不作为双方结算的依据。</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验收计量方式：整齐堆码点数，堆码时需把</w:t>
      </w:r>
      <w:r>
        <w:rPr>
          <w:rFonts w:hint="eastAsia" w:ascii="仿宋" w:hAnsi="仿宋" w:eastAsia="仿宋"/>
          <w:sz w:val="24"/>
          <w:szCs w:val="24"/>
          <w:lang w:val="en-US" w:eastAsia="zh-CN"/>
        </w:rPr>
        <w:t>损坏产品</w:t>
      </w:r>
      <w:r>
        <w:rPr>
          <w:rFonts w:hint="eastAsia" w:ascii="仿宋" w:hAnsi="仿宋" w:eastAsia="仿宋"/>
          <w:sz w:val="24"/>
          <w:szCs w:val="24"/>
        </w:rPr>
        <w:t>挑出，在计量结算时给予扣除，并由供方运输退场，具体验收合格数量以甲方收料员、</w:t>
      </w:r>
      <w:r>
        <w:rPr>
          <w:rFonts w:hint="eastAsia" w:ascii="仿宋" w:hAnsi="仿宋" w:eastAsia="仿宋"/>
          <w:sz w:val="24"/>
          <w:szCs w:val="24"/>
          <w:lang w:val="en-US" w:eastAsia="zh-CN"/>
        </w:rPr>
        <w:t>总包</w:t>
      </w:r>
      <w:r>
        <w:rPr>
          <w:rFonts w:hint="eastAsia" w:ascii="仿宋" w:hAnsi="仿宋" w:eastAsia="仿宋"/>
          <w:sz w:val="24"/>
          <w:szCs w:val="24"/>
        </w:rPr>
        <w:t>及乙方共同确认数据为准。</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货款采取月结方式，</w:t>
      </w:r>
      <w:r>
        <w:rPr>
          <w:rFonts w:hint="eastAsia" w:ascii="仿宋" w:hAnsi="仿宋" w:eastAsia="仿宋" w:cs="Times New Roman"/>
          <w:sz w:val="24"/>
          <w:szCs w:val="24"/>
          <w:lang w:eastAsia="zh-CN"/>
        </w:rPr>
        <w:t>上月20日至本月19日为一个结算周期。乙方将货物运至项目地点，结算周期结束后5日内双方就供应合格物资对账办理结算；对账结算完毕，乙方提交对应金额的发票，甲方收到发票后15个工作日内以包括但不限于现金、银行承兑汇票支付当月结算物资价款的</w:t>
      </w:r>
      <w:r>
        <w:rPr>
          <w:rFonts w:hint="eastAsia" w:ascii="仿宋" w:hAnsi="仿宋" w:eastAsia="仿宋" w:cs="Times New Roman"/>
          <w:sz w:val="24"/>
          <w:szCs w:val="24"/>
          <w:lang w:val="en-US" w:eastAsia="zh-CN"/>
        </w:rPr>
        <w:t>100</w:t>
      </w:r>
      <w:r>
        <w:rPr>
          <w:rFonts w:hint="eastAsia" w:ascii="仿宋" w:hAnsi="仿宋" w:eastAsia="仿宋" w:cs="Times New Roman"/>
          <w:sz w:val="24"/>
          <w:szCs w:val="24"/>
          <w:lang w:eastAsia="zh-CN"/>
        </w:rPr>
        <w:t>%（如甲方以银行承兑方式支付货款的，承兑贴现利息由甲方承担）。</w:t>
      </w:r>
    </w:p>
    <w:p>
      <w:pPr>
        <w:widowControl w:val="0"/>
        <w:numPr>
          <w:ilvl w:val="0"/>
          <w:numId w:val="0"/>
        </w:numPr>
        <w:spacing w:after="0" w:line="560" w:lineRule="exact"/>
        <w:ind w:leftChars="0"/>
        <w:jc w:val="both"/>
        <w:rPr>
          <w:rFonts w:hint="eastAsia" w:ascii="仿宋" w:hAnsi="仿宋" w:eastAsia="仿宋"/>
          <w:sz w:val="24"/>
          <w:szCs w:val="24"/>
        </w:rPr>
      </w:pPr>
      <w:r>
        <w:rPr>
          <w:rFonts w:hint="eastAsia" w:ascii="仿宋" w:hAnsi="仿宋" w:eastAsia="仿宋"/>
          <w:sz w:val="24"/>
          <w:szCs w:val="24"/>
        </w:rPr>
        <w:t>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28"/>
        <w:spacing w:line="360" w:lineRule="auto"/>
        <w:ind w:firstLine="0" w:firstLineChars="0"/>
        <w:jc w:val="center"/>
        <w:outlineLvl w:val="0"/>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三</w:t>
      </w:r>
      <w:r>
        <w:rPr>
          <w:rFonts w:hint="eastAsia" w:ascii="楷体" w:hAnsi="楷体" w:eastAsia="楷体" w:cs="楷体"/>
          <w:b/>
          <w:bCs/>
          <w:kern w:val="44"/>
          <w:sz w:val="24"/>
          <w:szCs w:val="24"/>
        </w:rPr>
        <w:t>章报价书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bookmarkEnd w:id="12"/>
    <w:bookmarkEnd w:id="13"/>
    <w:p>
      <w:pPr>
        <w:pStyle w:val="28"/>
        <w:spacing w:line="360" w:lineRule="auto"/>
        <w:ind w:firstLine="0" w:firstLineChars="0"/>
        <w:jc w:val="center"/>
        <w:rPr>
          <w:rFonts w:hint="eastAsia" w:ascii="楷体" w:hAnsi="楷体" w:eastAsia="楷体" w:cs="楷体"/>
          <w:b/>
          <w:bCs/>
          <w:kern w:val="44"/>
          <w:sz w:val="24"/>
          <w:szCs w:val="24"/>
          <w:lang w:val="en-US" w:eastAsia="zh-CN"/>
        </w:rPr>
      </w:pPr>
      <w:r>
        <w:rPr>
          <w:rFonts w:hint="eastAsia" w:ascii="楷体" w:hAnsi="楷体" w:eastAsia="楷体" w:cs="楷体"/>
          <w:b/>
          <w:bCs/>
          <w:kern w:val="44"/>
          <w:sz w:val="24"/>
          <w:szCs w:val="24"/>
          <w:lang w:val="en-US" w:eastAsia="zh-CN"/>
        </w:rPr>
        <w:t>报价表</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金额单位：元</w:t>
      </w:r>
    </w:p>
    <w:tbl>
      <w:tblPr>
        <w:tblStyle w:val="20"/>
        <w:tblW w:w="51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409"/>
        <w:gridCol w:w="1425"/>
        <w:gridCol w:w="849"/>
        <w:gridCol w:w="1151"/>
        <w:gridCol w:w="1667"/>
        <w:gridCol w:w="1539"/>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2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品名</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591"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数量</w:t>
            </w:r>
          </w:p>
        </w:tc>
        <w:tc>
          <w:tcPr>
            <w:tcW w:w="85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default" w:ascii="楷体" w:hAnsi="楷体" w:eastAsia="楷体" w:cs="楷体"/>
                <w:i w:val="0"/>
                <w:iCs w:val="0"/>
                <w:color w:val="000000"/>
                <w:kern w:val="0"/>
                <w:sz w:val="24"/>
                <w:szCs w:val="24"/>
                <w:u w:val="none"/>
                <w:lang w:val="en-US" w:eastAsia="zh-CN" w:bidi="ar"/>
              </w:rPr>
              <w:t>δ100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2800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1800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δ220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蒸压加气混凝土板（ALC）</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500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8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kern w:val="0"/>
                <w:sz w:val="24"/>
                <w:szCs w:val="24"/>
              </w:rPr>
              <w:t>提供增值税专用发票税率</w:t>
            </w:r>
          </w:p>
        </w:tc>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c>
          <w:tcPr>
            <w:tcW w:w="1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i w:val="0"/>
                <w:iCs w:val="0"/>
                <w:color w:val="000000"/>
                <w:sz w:val="24"/>
                <w:szCs w:val="24"/>
                <w:u w:val="none"/>
                <w:lang w:val="en-US" w:eastAsia="zh-CN"/>
              </w:rPr>
              <w:t>以上综合价格已包括采购期间的采购费用、增值税税金、合理利润、包装费、各类运杂费、过江过路过桥费、装卸费等运抵至甲方指定交货点的综合费用。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rPr>
              <w:t>本合同计价货币、结算货币和支付货币均为人民币。</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lang w:val="en-US" w:eastAsia="zh-CN"/>
              </w:rPr>
              <w:t>报价单为若为成交单位，需配合项目需求完成深化设计工作。</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pageBreakBefore w:val="0"/>
        <w:kinsoku/>
        <w:wordWrap/>
        <w:overflowPunct/>
        <w:topLinePunct w:val="0"/>
        <w:autoSpaceDE/>
        <w:autoSpaceDN/>
        <w:bidi w:val="0"/>
        <w:adjustRightInd w:val="0"/>
        <w:snapToGrid w:val="0"/>
        <w:spacing w:line="460" w:lineRule="exact"/>
        <w:textAlignment w:val="auto"/>
        <w:rPr>
          <w:rFonts w:hint="default"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1.1技术标准：</w:t>
      </w:r>
      <w:r>
        <w:rPr>
          <w:rFonts w:hint="eastAsia" w:ascii="楷体" w:hAnsi="楷体" w:eastAsia="楷体" w:cs="楷体"/>
          <w:kern w:val="2"/>
          <w:sz w:val="24"/>
          <w:szCs w:val="24"/>
          <w:lang w:val="en-US" w:eastAsia="zh-CN" w:bidi="ar-SA"/>
        </w:rPr>
        <w:t>符合《蒸压加气混凝土板》GB/T15762-2020；符合蒸压加气混凝土GB/T11969-2020；符合绝热材料稳态热阻及有关特性的测定-防护热板法GB/T10294-2008。</w:t>
      </w:r>
    </w:p>
    <w:p>
      <w:pPr>
        <w:pageBreakBefore w:val="0"/>
        <w:kinsoku/>
        <w:wordWrap/>
        <w:overflowPunct/>
        <w:topLinePunct w:val="0"/>
        <w:autoSpaceDE/>
        <w:autoSpaceDN/>
        <w:bidi w:val="0"/>
        <w:adjustRightInd w:val="0"/>
        <w:snapToGrid w:val="0"/>
        <w:spacing w:line="460" w:lineRule="exact"/>
        <w:textAlignment w:val="auto"/>
        <w:rPr>
          <w:rFonts w:hint="eastAsia"/>
          <w:spacing w:val="2"/>
          <w:lang w:eastAsia="zh-CN"/>
        </w:rPr>
      </w:pPr>
      <w:r>
        <w:rPr>
          <w:rFonts w:hint="eastAsia" w:ascii="楷体" w:hAnsi="楷体" w:eastAsia="楷体" w:cs="楷体"/>
          <w:b/>
          <w:bCs/>
          <w:sz w:val="24"/>
          <w:szCs w:val="24"/>
          <w:lang w:val="en-US" w:eastAsia="zh-CN"/>
        </w:rPr>
        <w:t>1.2计量方式：</w:t>
      </w:r>
      <w:r>
        <w:rPr>
          <w:rFonts w:hint="eastAsia" w:ascii="楷体" w:hAnsi="楷体" w:eastAsia="楷体" w:cs="楷体"/>
          <w:kern w:val="2"/>
          <w:sz w:val="24"/>
          <w:szCs w:val="24"/>
          <w:lang w:val="en-US" w:eastAsia="zh-CN" w:bidi="ar-SA"/>
        </w:rPr>
        <w:t>1）验收方式：按实计量，以检尺点数结合的方式验收。（2）具体验收合格数量以甲方、乙方、丙方、监理方及总包方共同确认数据为准。</w:t>
      </w:r>
      <w:r>
        <w:rPr>
          <w:rFonts w:hint="eastAsia" w:ascii="楷体" w:hAnsi="楷体" w:eastAsia="楷体" w:cs="楷体"/>
          <w:sz w:val="24"/>
          <w:szCs w:val="24"/>
          <w:lang w:val="en-US" w:eastAsia="zh-CN"/>
        </w:rPr>
        <w:br w:type="textWrapping"/>
      </w:r>
      <w:r>
        <w:rPr>
          <w:rFonts w:hint="eastAsia" w:ascii="楷体" w:hAnsi="楷体" w:eastAsia="楷体" w:cs="楷体"/>
          <w:b/>
          <w:bCs/>
          <w:sz w:val="24"/>
          <w:szCs w:val="24"/>
          <w:lang w:val="en-US" w:eastAsia="zh-CN"/>
        </w:rPr>
        <w:t>1.3 结算方式：</w:t>
      </w:r>
      <w:r>
        <w:rPr>
          <w:rFonts w:hint="eastAsia" w:ascii="楷体" w:hAnsi="楷体" w:eastAsia="楷体" w:cs="楷体"/>
          <w:kern w:val="2"/>
          <w:sz w:val="24"/>
          <w:szCs w:val="24"/>
          <w:lang w:val="en-US" w:eastAsia="zh-CN" w:bidi="ar-SA"/>
        </w:rPr>
        <w:t>货款采取月结方式，上月20日至本月19日为一个结算周期。乙方将货物运至项目地点，结算周期结束后5日内双方就供应合格物资对账办理结算；对账结算完毕，乙方提交对应金额的发票，甲方收到发票后15个工作日内以包括但不限于现金、银行承兑汇票支付当月结算物资价款的100%（如甲方以银行承兑方式支付货款的，承兑贴现利息由甲方承担）。</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1.4履约保证金：</w:t>
      </w:r>
      <w:r>
        <w:rPr>
          <w:rFonts w:hint="eastAsia" w:ascii="楷体" w:hAnsi="楷体" w:eastAsia="楷体" w:cs="楷体"/>
          <w:sz w:val="24"/>
          <w:szCs w:val="24"/>
          <w:highlight w:val="none"/>
          <w:lang w:val="en-US" w:eastAsia="zh-CN"/>
        </w:rPr>
        <w:t>合同</w:t>
      </w:r>
      <w:r>
        <w:rPr>
          <w:rFonts w:hint="default" w:ascii="楷体" w:hAnsi="楷体" w:eastAsia="楷体" w:cs="楷体"/>
          <w:sz w:val="24"/>
          <w:szCs w:val="24"/>
          <w:highlight w:val="none"/>
          <w:lang w:val="en-US" w:eastAsia="zh-CN"/>
        </w:rPr>
        <w:t>金额的</w:t>
      </w:r>
      <w:r>
        <w:rPr>
          <w:rFonts w:hint="eastAsia" w:ascii="楷体" w:hAnsi="楷体" w:eastAsia="楷体" w:cs="楷体"/>
          <w:sz w:val="24"/>
          <w:szCs w:val="24"/>
          <w:highlight w:val="none"/>
          <w:lang w:val="en-US" w:eastAsia="zh-CN"/>
        </w:rPr>
        <w:t>3</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en-US" w:eastAsia="zh-CN"/>
        </w:rPr>
        <w:t>成交</w:t>
      </w:r>
      <w:r>
        <w:rPr>
          <w:rFonts w:hint="eastAsia" w:ascii="楷体" w:hAnsi="楷体" w:eastAsia="楷体" w:cs="楷体"/>
          <w:kern w:val="2"/>
          <w:sz w:val="24"/>
          <w:szCs w:val="24"/>
          <w:lang w:val="en-US" w:eastAsia="zh-CN" w:bidi="ar-SA"/>
        </w:rPr>
        <w:t>通知书发出之后7个日历天内，以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缴纳履约保证金，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092" w:firstLineChars="700"/>
        <w:jc w:val="both"/>
        <w:textAlignment w:val="auto"/>
        <w:rPr>
          <w:rFonts w:hint="eastAsia" w:ascii="楷体" w:hAnsi="楷体" w:eastAsia="楷体" w:cs="楷体"/>
          <w:sz w:val="24"/>
          <w:szCs w:val="24"/>
        </w:rPr>
      </w:pPr>
      <w:r>
        <w:rPr>
          <w:rFonts w:hint="eastAsia" w:ascii="仿宋" w:hAnsi="仿宋" w:eastAsia="仿宋" w:cs="Times New Roman"/>
          <w:b/>
          <w:bCs/>
          <w:kern w:val="2"/>
          <w:sz w:val="44"/>
          <w:szCs w:val="44"/>
          <w:lang w:val="en-US" w:eastAsia="zh-CN" w:bidi="ar-SA"/>
        </w:rPr>
        <w:t>报价承诺函</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pStyle w:val="3"/>
        <w:numPr>
          <w:ilvl w:val="0"/>
          <w:numId w:val="0"/>
        </w:numPr>
        <w:spacing w:before="0" w:line="240" w:lineRule="auto"/>
        <w:ind w:leftChars="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附件二：</w:t>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加气块</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5"/>
        <w:ind w:firstLine="0"/>
        <w:rPr>
          <w:rFonts w:hint="eastAsi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lang w:val="en-US"/>
        </w:rPr>
      </w:pPr>
    </w:p>
    <w:p>
      <w:pPr>
        <w:rPr>
          <w:rFonts w:hint="eastAsia"/>
          <w:lang w:val="en-US"/>
        </w:rPr>
      </w:pPr>
    </w:p>
    <w:p>
      <w:pPr>
        <w:rPr>
          <w:rFonts w:hint="eastAsia"/>
          <w:lang w:val="en-US"/>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outlineLvl w:val="1"/>
        <w:rPr>
          <w:rFonts w:hint="default"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附件三：</w:t>
      </w:r>
      <w:r>
        <w:rPr>
          <w:rFonts w:hint="eastAsia" w:ascii="楷体" w:hAnsi="楷体" w:eastAsia="楷体" w:cs="楷体"/>
          <w:b/>
          <w:bCs w:val="0"/>
          <w:sz w:val="24"/>
          <w:szCs w:val="24"/>
          <w:lang w:val="en-US" w:eastAsia="zh-CN"/>
        </w:rPr>
        <w:t>无重大违法记录声明函</w:t>
      </w:r>
      <w:r>
        <w:rPr>
          <w:rFonts w:hint="eastAsia" w:ascii="楷体" w:hAnsi="楷体" w:eastAsia="楷体" w:cs="楷体"/>
          <w:b/>
          <w:bCs w:val="0"/>
          <w:sz w:val="24"/>
          <w:szCs w:val="24"/>
          <w:lang w:val="en-US" w:eastAsia="zh-CN"/>
        </w:rPr>
        <w:br w:type="textWrapping"/>
      </w:r>
    </w:p>
    <w:p>
      <w:pPr>
        <w:pStyle w:val="28"/>
        <w:spacing w:line="360" w:lineRule="auto"/>
        <w:ind w:firstLine="0" w:firstLineChars="0"/>
        <w:jc w:val="center"/>
        <w:rPr>
          <w:rFonts w:hint="eastAsia" w:ascii="楷体" w:hAnsi="楷体" w:eastAsia="楷体" w:cs="楷体"/>
          <w:b/>
          <w:bCs/>
          <w:kern w:val="44"/>
          <w:sz w:val="32"/>
          <w:szCs w:val="32"/>
        </w:rPr>
      </w:pPr>
    </w:p>
    <w:p>
      <w:pPr>
        <w:pStyle w:val="28"/>
        <w:spacing w:line="360" w:lineRule="auto"/>
        <w:ind w:firstLine="0" w:firstLineChars="0"/>
        <w:jc w:val="center"/>
        <w:rPr>
          <w:rFonts w:hint="eastAsia" w:ascii="楷体" w:hAnsi="楷体" w:eastAsia="楷体" w:cs="楷体"/>
          <w:b/>
          <w:bCs/>
          <w:kern w:val="44"/>
          <w:sz w:val="32"/>
          <w:szCs w:val="32"/>
        </w:rPr>
      </w:pPr>
      <w:r>
        <w:rPr>
          <w:rFonts w:hint="eastAsia" w:ascii="楷体" w:hAnsi="楷体" w:eastAsia="楷体" w:cs="楷体"/>
          <w:b/>
          <w:bCs/>
          <w:kern w:val="44"/>
          <w:sz w:val="32"/>
          <w:szCs w:val="32"/>
        </w:rPr>
        <w:t>声明函</w:t>
      </w:r>
    </w:p>
    <w:p>
      <w:pPr>
        <w:pStyle w:val="28"/>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海南洋浦陆海国际贸易有限公司 ：</w:t>
      </w:r>
    </w:p>
    <w:p>
      <w:pPr>
        <w:pStyle w:val="28"/>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我司承诺近三年内在政府采购和招投标活动中没有重大违法记录，或严重违约或重大工程质量问题。</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仿宋" w:hAnsi="仿宋" w:eastAsia="仿宋"/>
          <w:sz w:val="24"/>
          <w:szCs w:val="24"/>
        </w:rPr>
        <w:t xml:space="preserve">                        </w:t>
      </w:r>
      <w:r>
        <w:rPr>
          <w:rFonts w:hint="eastAsia" w:ascii="楷体" w:hAnsi="楷体" w:eastAsia="楷体" w:cs="楷体"/>
          <w:kern w:val="2"/>
          <w:sz w:val="24"/>
          <w:szCs w:val="24"/>
          <w:lang w:val="en-US" w:eastAsia="zh-CN" w:bidi="ar-SA"/>
        </w:rPr>
        <w:t xml:space="preserve">报价单位： </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（盖单位章）</w:t>
      </w:r>
    </w:p>
    <w:p>
      <w:pPr>
        <w:pStyle w:val="37"/>
        <w:spacing w:line="360" w:lineRule="auto"/>
        <w:ind w:firstLine="1200" w:firstLineChars="5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（签字）</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年    月    日</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p>
    <w:p>
      <w:pPr>
        <w:pStyle w:val="28"/>
        <w:spacing w:line="360" w:lineRule="auto"/>
        <w:ind w:firstLine="0" w:firstLineChars="0"/>
        <w:jc w:val="left"/>
        <w:rPr>
          <w:rFonts w:hint="eastAsia" w:ascii="仿宋" w:hAnsi="仿宋" w:eastAsia="仿宋"/>
          <w:kern w:val="44"/>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br w:type="page"/>
      </w:r>
    </w:p>
    <w:p>
      <w:pPr>
        <w:pageBreakBefore w:val="0"/>
        <w:widowControl w:val="0"/>
        <w:kinsoku/>
        <w:wordWrap/>
        <w:overflowPunct/>
        <w:topLinePunct w:val="0"/>
        <w:autoSpaceDE/>
        <w:autoSpaceDN/>
        <w:bidi w:val="0"/>
        <w:adjustRightInd/>
        <w:snapToGrid/>
        <w:spacing w:line="400" w:lineRule="exact"/>
        <w:textAlignment w:val="auto"/>
        <w:outlineLvl w:val="0"/>
        <w:rPr>
          <w:rFonts w:hint="eastAsia"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附件四：</w:t>
      </w:r>
      <w:r>
        <w:rPr>
          <w:rFonts w:hint="eastAsia" w:ascii="楷体" w:hAnsi="楷体" w:eastAsia="楷体" w:cs="楷体"/>
          <w:b/>
          <w:bCs w:val="0"/>
          <w:sz w:val="24"/>
          <w:szCs w:val="24"/>
          <w:lang w:val="en-US" w:eastAsia="zh-CN"/>
        </w:rPr>
        <w:t>生产线设计产能相关证明材料</w:t>
      </w:r>
    </w:p>
    <w:p>
      <w:pPr>
        <w:spacing w:line="500" w:lineRule="exact"/>
        <w:ind w:left="0" w:leftChars="0" w:right="0" w:rightChars="0" w:firstLine="482" w:firstLineChars="200"/>
        <w:jc w:val="left"/>
        <w:rPr>
          <w:rFonts w:hint="eastAsia" w:ascii="仿宋" w:hAnsi="仿宋" w:eastAsia="仿宋" w:cs="仿宋"/>
          <w:b/>
          <w:bCs/>
          <w:color w:val="auto"/>
          <w:sz w:val="24"/>
          <w:szCs w:val="24"/>
          <w:highlight w:val="none"/>
          <w:lang w:val="en-US" w:eastAsia="zh-CN"/>
        </w:rPr>
      </w:pPr>
    </w:p>
    <w:p>
      <w:pPr>
        <w:spacing w:line="500" w:lineRule="exact"/>
        <w:ind w:left="0" w:leftChars="0" w:right="0" w:rightChars="0" w:firstLine="482"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报价单位须提供生产线设计产能相关证明材料复印件加盖公章。</w:t>
      </w:r>
      <w:r>
        <w:rPr>
          <w:rFonts w:hint="eastAsia" w:ascii="宋体" w:hAnsi="宋体" w:eastAsia="宋体" w:cs="宋体"/>
          <w:color w:val="000000" w:themeColor="text1"/>
          <w:sz w:val="21"/>
          <w:highlight w:val="none"/>
          <w:lang w:val="en-US" w:eastAsia="zh-CN"/>
          <w14:textFill>
            <w14:solidFill>
              <w14:schemeClr w14:val="tx1"/>
            </w14:solidFill>
          </w14:textFill>
        </w:rPr>
        <w:t>对投标人的生产能力进行对比（ALC轻质隔墙板，以立方米计算，若生产线设计产能为平方米则需折算为立方米，即“立方米=平方米×厚度</w:t>
      </w:r>
      <w:r>
        <w:rPr>
          <w:rFonts w:hint="default" w:ascii="宋体" w:hAnsi="宋体" w:eastAsia="宋体" w:cs="宋体"/>
          <w:color w:val="000000" w:themeColor="text1"/>
          <w:sz w:val="21"/>
          <w:highlight w:val="none"/>
          <w:lang w:val="en-US"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w:t>
      </w:r>
    </w:p>
    <w:tbl>
      <w:tblPr>
        <w:tblStyle w:val="21"/>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262"/>
        <w:gridCol w:w="335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1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3262"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生产线设计产能（平方米）</w:t>
            </w:r>
          </w:p>
        </w:tc>
        <w:tc>
          <w:tcPr>
            <w:tcW w:w="3358"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换算后产能：立方米</w:t>
            </w:r>
          </w:p>
        </w:tc>
        <w:tc>
          <w:tcPr>
            <w:tcW w:w="159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举例</w:t>
            </w:r>
          </w:p>
        </w:tc>
        <w:tc>
          <w:tcPr>
            <w:tcW w:w="3262"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100平方米（120mm）</w:t>
            </w:r>
          </w:p>
        </w:tc>
        <w:tc>
          <w:tcPr>
            <w:tcW w:w="3358"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100x0.12=12立方米</w:t>
            </w: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right="0" w:rightChars="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default"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1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262"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3358"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c>
          <w:tcPr>
            <w:tcW w:w="1599" w:type="dxa"/>
          </w:tcPr>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tc>
      </w:tr>
    </w:tbl>
    <w:p>
      <w:pPr>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注：以上表格报价单位可根据实际情况进行扩展。</w:t>
      </w:r>
      <w:r>
        <w:rPr>
          <w:rFonts w:hint="eastAsia" w:ascii="楷体" w:hAnsi="楷体" w:eastAsia="楷体" w:cs="楷体"/>
          <w:b/>
          <w:bCs w:val="0"/>
          <w:sz w:val="24"/>
          <w:szCs w:val="24"/>
          <w:lang w:val="en-US" w:eastAsia="zh-CN"/>
        </w:rPr>
        <w:br w:type="page"/>
      </w:r>
    </w:p>
    <w:p>
      <w:pPr>
        <w:spacing w:line="500" w:lineRule="exact"/>
        <w:ind w:right="0" w:rightChars="0"/>
        <w:jc w:val="left"/>
        <w:outlineLvl w:val="0"/>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附件五：项目驻场人员配备要求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spacing w:line="500" w:lineRule="exact"/>
        <w:ind w:left="0" w:leftChars="0" w:right="0" w:rightChars="0" w:firstLine="482" w:firstLineChars="200"/>
        <w:jc w:val="cente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承诺函</w:t>
      </w:r>
    </w:p>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p>
      <w:pPr>
        <w:spacing w:line="500" w:lineRule="exact"/>
        <w:ind w:left="0" w:leftChars="0" w:right="0" w:rightChars="0"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致：</w:t>
      </w:r>
      <w:r>
        <w:rPr>
          <w:rFonts w:hint="eastAsia" w:ascii="仿宋" w:hAnsi="仿宋" w:eastAsia="仿宋" w:cs="仿宋"/>
          <w:color w:val="auto"/>
          <w:sz w:val="24"/>
          <w:szCs w:val="24"/>
          <w:highlight w:val="none"/>
          <w:u w:val="none"/>
          <w:lang w:val="en-US" w:eastAsia="zh-CN"/>
        </w:rPr>
        <w:t>海南洋浦陆海国际贸易有限公司</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我司承诺为本项目配置项目负责人（1人）及其他项目技术人员（人数以满足现场技术指导为准），配合完成本项目供货、质量核查、技术交底、指导安装技术服务、尺寸复合等工作。</w:t>
      </w:r>
    </w:p>
    <w:p>
      <w:pPr>
        <w:spacing w:line="500" w:lineRule="exact"/>
        <w:ind w:left="0" w:leftChars="0" w:right="0" w:rightChars="0" w:firstLine="480" w:firstLineChars="200"/>
        <w:jc w:val="left"/>
        <w:rPr>
          <w:rFonts w:hint="eastAsia" w:ascii="仿宋" w:hAnsi="仿宋" w:eastAsia="仿宋" w:cs="仿宋"/>
          <w:color w:val="auto"/>
          <w:sz w:val="24"/>
          <w:szCs w:val="24"/>
          <w:highlight w:val="none"/>
          <w:lang w:val="en-US" w:eastAsia="zh-CN"/>
        </w:rPr>
      </w:pPr>
    </w:p>
    <w:p>
      <w:pPr>
        <w:spacing w:line="500" w:lineRule="exact"/>
        <w:ind w:right="0" w:rightChars="0" w:firstLine="4800" w:firstLineChars="2000"/>
        <w:jc w:val="both"/>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报价单位：</w:t>
      </w:r>
      <w:r>
        <w:rPr>
          <w:rFonts w:hint="eastAsia" w:ascii="仿宋" w:hAnsi="仿宋" w:eastAsia="仿宋" w:cs="仿宋"/>
          <w:color w:val="auto"/>
          <w:sz w:val="24"/>
          <w:szCs w:val="24"/>
          <w:highlight w:val="none"/>
          <w:u w:val="none"/>
          <w:lang w:val="en-US" w:eastAsia="zh-CN"/>
        </w:rPr>
        <w:t xml:space="preserve">                    </w:t>
      </w:r>
    </w:p>
    <w:p>
      <w:pPr>
        <w:spacing w:line="500" w:lineRule="exact"/>
        <w:ind w:left="0" w:leftChars="0" w:right="0" w:rightChars="0" w:firstLine="5280" w:firstLineChars="2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时间：                     </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br w:type="page"/>
      </w:r>
    </w:p>
    <w:p>
      <w:pPr>
        <w:pageBreakBefore w:val="0"/>
        <w:widowControl w:val="0"/>
        <w:kinsoku/>
        <w:wordWrap/>
        <w:overflowPunct/>
        <w:topLinePunct w:val="0"/>
        <w:autoSpaceDE/>
        <w:autoSpaceDN/>
        <w:bidi w:val="0"/>
        <w:adjustRightInd/>
        <w:snapToGrid/>
        <w:spacing w:line="400" w:lineRule="exact"/>
        <w:textAlignment w:val="auto"/>
        <w:outlineLvl w:val="0"/>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附件六：报价单位认为需要提供的其他文件（格式自拟）</w:t>
      </w:r>
    </w:p>
    <w:p>
      <w:pPr>
        <w:rPr>
          <w:rFonts w:hint="eastAsia"/>
          <w:lang w:val="en-US"/>
        </w:rPr>
      </w:pPr>
    </w:p>
    <w:sectPr>
      <w:pgSz w:w="11906" w:h="16838"/>
      <w:pgMar w:top="1440" w:right="85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E8CE1"/>
    <w:multiLevelType w:val="singleLevel"/>
    <w:tmpl w:val="193E8CE1"/>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3">
    <w:nsid w:val="7E9B3944"/>
    <w:multiLevelType w:val="singleLevel"/>
    <w:tmpl w:val="7E9B394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g3MjE1YzQ2OTI0ZGU3N2FiMjhiOGQ0ZmJjODE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4F01A6"/>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7D1717"/>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7D365B"/>
    <w:rsid w:val="0686072F"/>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320739"/>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561AE7"/>
    <w:rsid w:val="0E7041BA"/>
    <w:rsid w:val="0E716CB9"/>
    <w:rsid w:val="0E7A4ECE"/>
    <w:rsid w:val="0E7B0752"/>
    <w:rsid w:val="0E7C61D3"/>
    <w:rsid w:val="0E876762"/>
    <w:rsid w:val="0E8D3EEF"/>
    <w:rsid w:val="0E983E63"/>
    <w:rsid w:val="0EAC1495"/>
    <w:rsid w:val="0EB42572"/>
    <w:rsid w:val="0EB7249A"/>
    <w:rsid w:val="0EBF433E"/>
    <w:rsid w:val="0ED71628"/>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0C0768"/>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9771C"/>
    <w:rsid w:val="12AB39AF"/>
    <w:rsid w:val="12BC061F"/>
    <w:rsid w:val="12CF6944"/>
    <w:rsid w:val="12D31474"/>
    <w:rsid w:val="12F266AE"/>
    <w:rsid w:val="12FE713F"/>
    <w:rsid w:val="130377D4"/>
    <w:rsid w:val="13191A65"/>
    <w:rsid w:val="1322619E"/>
    <w:rsid w:val="133B4F6A"/>
    <w:rsid w:val="13435E6F"/>
    <w:rsid w:val="13581549"/>
    <w:rsid w:val="13795301"/>
    <w:rsid w:val="138E2060"/>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0D4EF8"/>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24F79"/>
    <w:rsid w:val="17460232"/>
    <w:rsid w:val="175E3962"/>
    <w:rsid w:val="176A7CB6"/>
    <w:rsid w:val="178030D2"/>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1702D"/>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7402E"/>
    <w:rsid w:val="1BDE1C65"/>
    <w:rsid w:val="1BEC49DB"/>
    <w:rsid w:val="1BEE0B84"/>
    <w:rsid w:val="1BF4059C"/>
    <w:rsid w:val="1BF6798D"/>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5F4105"/>
    <w:rsid w:val="1E6C14AB"/>
    <w:rsid w:val="1E9F5C7C"/>
    <w:rsid w:val="1E9F669B"/>
    <w:rsid w:val="1EA254C4"/>
    <w:rsid w:val="1ECF001D"/>
    <w:rsid w:val="1EDC0931"/>
    <w:rsid w:val="1EE13257"/>
    <w:rsid w:val="1EF06925"/>
    <w:rsid w:val="1EF85EBB"/>
    <w:rsid w:val="1F2A5C8F"/>
    <w:rsid w:val="1F3F7F12"/>
    <w:rsid w:val="1F550E6F"/>
    <w:rsid w:val="1F647CCA"/>
    <w:rsid w:val="1F6D7F66"/>
    <w:rsid w:val="1F6E7EA0"/>
    <w:rsid w:val="1F873CBF"/>
    <w:rsid w:val="1FA173F5"/>
    <w:rsid w:val="1FA94802"/>
    <w:rsid w:val="1FC67503"/>
    <w:rsid w:val="1FDE70D1"/>
    <w:rsid w:val="1FEF1512"/>
    <w:rsid w:val="1FF33877"/>
    <w:rsid w:val="1FF74072"/>
    <w:rsid w:val="200828C6"/>
    <w:rsid w:val="20085B73"/>
    <w:rsid w:val="200D0CA3"/>
    <w:rsid w:val="2029556A"/>
    <w:rsid w:val="2036713F"/>
    <w:rsid w:val="203C17F2"/>
    <w:rsid w:val="205F7BF9"/>
    <w:rsid w:val="206105A6"/>
    <w:rsid w:val="206D1166"/>
    <w:rsid w:val="207F3560"/>
    <w:rsid w:val="20806BFB"/>
    <w:rsid w:val="208E3787"/>
    <w:rsid w:val="20922904"/>
    <w:rsid w:val="209C15AC"/>
    <w:rsid w:val="20A377C7"/>
    <w:rsid w:val="20A90F70"/>
    <w:rsid w:val="20D00624"/>
    <w:rsid w:val="20F64A35"/>
    <w:rsid w:val="20FA3CE2"/>
    <w:rsid w:val="210D1A49"/>
    <w:rsid w:val="21130FE1"/>
    <w:rsid w:val="211C305E"/>
    <w:rsid w:val="21611CCB"/>
    <w:rsid w:val="216C5CA2"/>
    <w:rsid w:val="21BB5E33"/>
    <w:rsid w:val="21C24E71"/>
    <w:rsid w:val="21C6716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C80A68"/>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46A31"/>
    <w:rsid w:val="23B9767A"/>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C765AD"/>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402FB"/>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4549F"/>
    <w:rsid w:val="2D0E7CC8"/>
    <w:rsid w:val="2D24365F"/>
    <w:rsid w:val="2D3E4627"/>
    <w:rsid w:val="2D5001D5"/>
    <w:rsid w:val="2D5531EF"/>
    <w:rsid w:val="2D7515E3"/>
    <w:rsid w:val="2D843CE4"/>
    <w:rsid w:val="2DA515AB"/>
    <w:rsid w:val="2DAA22A3"/>
    <w:rsid w:val="2DAC1C0D"/>
    <w:rsid w:val="2DB957E6"/>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23F73"/>
    <w:rsid w:val="32A73FA5"/>
    <w:rsid w:val="32C42CAC"/>
    <w:rsid w:val="32E06A79"/>
    <w:rsid w:val="32F02819"/>
    <w:rsid w:val="32F9052C"/>
    <w:rsid w:val="32FB3E09"/>
    <w:rsid w:val="33121AA1"/>
    <w:rsid w:val="3317335F"/>
    <w:rsid w:val="331A4072"/>
    <w:rsid w:val="3332073B"/>
    <w:rsid w:val="333F77DD"/>
    <w:rsid w:val="33650EE0"/>
    <w:rsid w:val="336957F3"/>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073D1"/>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53A56"/>
    <w:rsid w:val="36772774"/>
    <w:rsid w:val="368215FE"/>
    <w:rsid w:val="36B25143"/>
    <w:rsid w:val="36CF347B"/>
    <w:rsid w:val="36D14E27"/>
    <w:rsid w:val="36D97FB8"/>
    <w:rsid w:val="371A59E1"/>
    <w:rsid w:val="37240250"/>
    <w:rsid w:val="37725233"/>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0F345E"/>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AC1DED"/>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9F3AAC"/>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C6AA5"/>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4272C"/>
    <w:rsid w:val="470C633F"/>
    <w:rsid w:val="47271E3C"/>
    <w:rsid w:val="47372735"/>
    <w:rsid w:val="475B4AD3"/>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5B59A8"/>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282A98"/>
    <w:rsid w:val="4F3E6166"/>
    <w:rsid w:val="4F5178A3"/>
    <w:rsid w:val="4F5368C9"/>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165A93"/>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4E7400"/>
    <w:rsid w:val="5553267F"/>
    <w:rsid w:val="55584384"/>
    <w:rsid w:val="555A26FB"/>
    <w:rsid w:val="5570591E"/>
    <w:rsid w:val="55934C35"/>
    <w:rsid w:val="559B18F9"/>
    <w:rsid w:val="55A84C13"/>
    <w:rsid w:val="55E8288A"/>
    <w:rsid w:val="55F310CC"/>
    <w:rsid w:val="55F70216"/>
    <w:rsid w:val="55FF3307"/>
    <w:rsid w:val="563D4EBF"/>
    <w:rsid w:val="565A2562"/>
    <w:rsid w:val="565B7F3A"/>
    <w:rsid w:val="5665084A"/>
    <w:rsid w:val="56834D00"/>
    <w:rsid w:val="568432FD"/>
    <w:rsid w:val="568602D2"/>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17D88"/>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8F33C38"/>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DF0D57"/>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A52689"/>
    <w:rsid w:val="5DB67994"/>
    <w:rsid w:val="5DC0655D"/>
    <w:rsid w:val="5DE35818"/>
    <w:rsid w:val="5DEA5196"/>
    <w:rsid w:val="5DFB71CE"/>
    <w:rsid w:val="5E3E5798"/>
    <w:rsid w:val="5E4B1131"/>
    <w:rsid w:val="5E7110B5"/>
    <w:rsid w:val="5E7B3AF8"/>
    <w:rsid w:val="5E8A14A9"/>
    <w:rsid w:val="5E952F92"/>
    <w:rsid w:val="5EA4026E"/>
    <w:rsid w:val="5EB804F7"/>
    <w:rsid w:val="5EC41684"/>
    <w:rsid w:val="5EDB3C26"/>
    <w:rsid w:val="5F1C698C"/>
    <w:rsid w:val="5F2E10CF"/>
    <w:rsid w:val="5F393BBF"/>
    <w:rsid w:val="5F503E46"/>
    <w:rsid w:val="5F5825D3"/>
    <w:rsid w:val="5F6B6599"/>
    <w:rsid w:val="5FA97E40"/>
    <w:rsid w:val="5FB07830"/>
    <w:rsid w:val="5FB15CCE"/>
    <w:rsid w:val="5FBB41EB"/>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0EF48D0"/>
    <w:rsid w:val="610A75F8"/>
    <w:rsid w:val="61115D0C"/>
    <w:rsid w:val="61277B74"/>
    <w:rsid w:val="61336954"/>
    <w:rsid w:val="616748AA"/>
    <w:rsid w:val="616D69D4"/>
    <w:rsid w:val="61886913"/>
    <w:rsid w:val="619929B6"/>
    <w:rsid w:val="61AF068E"/>
    <w:rsid w:val="61BF76A4"/>
    <w:rsid w:val="61C77DA0"/>
    <w:rsid w:val="61D07906"/>
    <w:rsid w:val="61E345CA"/>
    <w:rsid w:val="61E736CF"/>
    <w:rsid w:val="621351F3"/>
    <w:rsid w:val="62360387"/>
    <w:rsid w:val="626604B9"/>
    <w:rsid w:val="628864B6"/>
    <w:rsid w:val="62A65A66"/>
    <w:rsid w:val="62A821BB"/>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A9429A"/>
    <w:rsid w:val="64B557C6"/>
    <w:rsid w:val="64C762EE"/>
    <w:rsid w:val="64C8331B"/>
    <w:rsid w:val="64F62FBF"/>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B5AA4"/>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6F60C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81118"/>
    <w:rsid w:val="69DE4130"/>
    <w:rsid w:val="6A0016F1"/>
    <w:rsid w:val="6A7449B2"/>
    <w:rsid w:val="6A9929F4"/>
    <w:rsid w:val="6ACB2E33"/>
    <w:rsid w:val="6ACC52E9"/>
    <w:rsid w:val="6ACF763D"/>
    <w:rsid w:val="6AD63A5F"/>
    <w:rsid w:val="6AE01CC6"/>
    <w:rsid w:val="6AED54C5"/>
    <w:rsid w:val="6B2A231E"/>
    <w:rsid w:val="6B2E7664"/>
    <w:rsid w:val="6B41565A"/>
    <w:rsid w:val="6B586ED0"/>
    <w:rsid w:val="6B940900"/>
    <w:rsid w:val="6B9659D1"/>
    <w:rsid w:val="6B992596"/>
    <w:rsid w:val="6BA40927"/>
    <w:rsid w:val="6BAC5136"/>
    <w:rsid w:val="6BB37DB8"/>
    <w:rsid w:val="6BBC4E35"/>
    <w:rsid w:val="6BC37142"/>
    <w:rsid w:val="6BC859EC"/>
    <w:rsid w:val="6BCB1147"/>
    <w:rsid w:val="6BDC2697"/>
    <w:rsid w:val="6BF16ADA"/>
    <w:rsid w:val="6C0B4072"/>
    <w:rsid w:val="6C105A58"/>
    <w:rsid w:val="6C1364EE"/>
    <w:rsid w:val="6C223623"/>
    <w:rsid w:val="6C2B3181"/>
    <w:rsid w:val="6C5A6792"/>
    <w:rsid w:val="6C67289A"/>
    <w:rsid w:val="6C895159"/>
    <w:rsid w:val="6C9D138F"/>
    <w:rsid w:val="6CC47F2E"/>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3D6D0E"/>
    <w:rsid w:val="6E420B2D"/>
    <w:rsid w:val="6E4474A8"/>
    <w:rsid w:val="6E7521C9"/>
    <w:rsid w:val="6E7C3D78"/>
    <w:rsid w:val="6E9C6079"/>
    <w:rsid w:val="6EA25D92"/>
    <w:rsid w:val="6EA51FEB"/>
    <w:rsid w:val="6EB754FC"/>
    <w:rsid w:val="6EBF447C"/>
    <w:rsid w:val="6ECD2EFE"/>
    <w:rsid w:val="6EF967A0"/>
    <w:rsid w:val="6EFD396C"/>
    <w:rsid w:val="6F0674FF"/>
    <w:rsid w:val="6F2F0E79"/>
    <w:rsid w:val="6F3F3691"/>
    <w:rsid w:val="6F49144D"/>
    <w:rsid w:val="6F8A5194"/>
    <w:rsid w:val="6F944668"/>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B78EC"/>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87154"/>
    <w:rsid w:val="772911F0"/>
    <w:rsid w:val="773A73DD"/>
    <w:rsid w:val="77540EAB"/>
    <w:rsid w:val="775E4966"/>
    <w:rsid w:val="77720FB5"/>
    <w:rsid w:val="77760FFC"/>
    <w:rsid w:val="77896AA4"/>
    <w:rsid w:val="77A23473"/>
    <w:rsid w:val="77CC63EB"/>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07D4A"/>
    <w:rsid w:val="7B897F9C"/>
    <w:rsid w:val="7B8B6C3F"/>
    <w:rsid w:val="7B974C50"/>
    <w:rsid w:val="7BA20696"/>
    <w:rsid w:val="7BAF4A60"/>
    <w:rsid w:val="7BBF0DE6"/>
    <w:rsid w:val="7BC94525"/>
    <w:rsid w:val="7BCA41A5"/>
    <w:rsid w:val="7BDE0036"/>
    <w:rsid w:val="7BE90B2B"/>
    <w:rsid w:val="7C0C42D3"/>
    <w:rsid w:val="7C2D09C7"/>
    <w:rsid w:val="7C420509"/>
    <w:rsid w:val="7C5F39D5"/>
    <w:rsid w:val="7C607F1C"/>
    <w:rsid w:val="7C853942"/>
    <w:rsid w:val="7C9A2D3C"/>
    <w:rsid w:val="7C9B2DE8"/>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AF34AA"/>
    <w:rsid w:val="7DB36FB1"/>
    <w:rsid w:val="7DB52379"/>
    <w:rsid w:val="7DB76B9E"/>
    <w:rsid w:val="7DDA72F8"/>
    <w:rsid w:val="7E3434E3"/>
    <w:rsid w:val="7E3E74AD"/>
    <w:rsid w:val="7E497A3C"/>
    <w:rsid w:val="7E4C58A3"/>
    <w:rsid w:val="7E5073C7"/>
    <w:rsid w:val="7E610386"/>
    <w:rsid w:val="7E7E34B2"/>
    <w:rsid w:val="7E9C40FF"/>
    <w:rsid w:val="7EA128FE"/>
    <w:rsid w:val="7EAA45DE"/>
    <w:rsid w:val="7EC20180"/>
    <w:rsid w:val="7EC32A29"/>
    <w:rsid w:val="7ECC4429"/>
    <w:rsid w:val="7ED812E4"/>
    <w:rsid w:val="7EEE7388"/>
    <w:rsid w:val="7EF02F3D"/>
    <w:rsid w:val="7F0B337E"/>
    <w:rsid w:val="7F0C450C"/>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9"/>
    <w:qFormat/>
    <w:uiPriority w:val="0"/>
    <w:pPr>
      <w:spacing w:after="120"/>
      <w:ind w:left="420" w:leftChars="200" w:firstLine="420"/>
    </w:pPr>
    <w:rPr>
      <w:bCs/>
    </w:rPr>
  </w:style>
  <w:style w:type="paragraph" w:customStyle="1" w:styleId="19">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link w:val="4"/>
    <w:qFormat/>
    <w:uiPriority w:val="9"/>
    <w:rPr>
      <w:rFonts w:ascii="仿宋" w:hAnsi="仿宋" w:eastAsia="仿宋_GB2312" w:cs="Times New Roman"/>
      <w:bCs/>
      <w:sz w:val="28"/>
      <w:szCs w:val="32"/>
    </w:rPr>
  </w:style>
  <w:style w:type="character" w:customStyle="1" w:styleId="34">
    <w:name w:val="标题 2 Char"/>
    <w:link w:val="3"/>
    <w:qFormat/>
    <w:uiPriority w:val="9"/>
    <w:rPr>
      <w:rFonts w:ascii="Cambria" w:hAnsi="Cambria" w:eastAsia="仿宋_GB2312"/>
      <w:b/>
      <w:bCs/>
      <w:sz w:val="30"/>
      <w:szCs w:val="32"/>
    </w:rPr>
  </w:style>
  <w:style w:type="character" w:customStyle="1" w:styleId="35">
    <w:name w:val="标题 1 Char"/>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7">
    <w:name w:val="1"/>
    <w:basedOn w:val="1"/>
    <w:qFormat/>
    <w:uiPriority w:val="0"/>
    <w:rPr>
      <w:szCs w:val="21"/>
    </w:rPr>
  </w:style>
  <w:style w:type="paragraph" w:customStyle="1" w:styleId="38">
    <w:name w:val="Table Paragraph"/>
    <w:basedOn w:val="1"/>
    <w:qFormat/>
    <w:uiPriority w:val="99"/>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9952</Words>
  <Characters>10465</Characters>
  <Lines>50</Lines>
  <Paragraphs>14</Paragraphs>
  <TotalTime>1</TotalTime>
  <ScaleCrop>false</ScaleCrop>
  <LinksUpToDate>false</LinksUpToDate>
  <CharactersWithSpaces>11510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周</cp:lastModifiedBy>
  <cp:lastPrinted>2024-06-24T03:06:00Z</cp:lastPrinted>
  <dcterms:modified xsi:type="dcterms:W3CDTF">2024-07-24T08:48:20Z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9FD8777846E249DABA8B0D825EEE598B_13</vt:lpwstr>
  </property>
</Properties>
</file>