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3BA3E">
      <w:pPr>
        <w:spacing w:line="380" w:lineRule="atLeast"/>
        <w:ind w:left="-199" w:leftChars="-95"/>
        <w:jc w:val="center"/>
        <w:rPr>
          <w:rFonts w:hint="eastAsia" w:ascii="楷体_GB2312" w:hAnsi="楷体_GB2312" w:eastAsia="楷体_GB2312" w:cs="楷体_GB2312"/>
          <w:b/>
          <w:sz w:val="44"/>
          <w:szCs w:val="44"/>
          <w:highlight w:val="none"/>
        </w:rPr>
      </w:pPr>
      <w:bookmarkStart w:id="0" w:name="_Toc343692950"/>
      <w:bookmarkStart w:id="1" w:name="_Toc343700748"/>
      <w:bookmarkStart w:id="13" w:name="_GoBack"/>
      <w:bookmarkEnd w:id="13"/>
      <w:r>
        <w:rPr>
          <w:rFonts w:hint="eastAsia" w:ascii="楷体_GB2312" w:hAnsi="楷体_GB2312" w:eastAsia="楷体_GB2312" w:cs="楷体_GB2312"/>
          <w:b/>
          <w:sz w:val="44"/>
          <w:szCs w:val="44"/>
          <w:highlight w:val="none"/>
        </w:rPr>
        <w:t>海南洋浦陆海能源发展有限公司</w:t>
      </w:r>
    </w:p>
    <w:p w14:paraId="694CC0C6">
      <w:pPr>
        <w:spacing w:line="380" w:lineRule="atLeast"/>
        <w:ind w:left="-199" w:leftChars="-95"/>
        <w:jc w:val="center"/>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44"/>
          <w:szCs w:val="44"/>
          <w:highlight w:val="none"/>
        </w:rPr>
        <w:t>石灰石碎石、机制砂采购及运输</w:t>
      </w:r>
      <w:r>
        <w:rPr>
          <w:rFonts w:hint="eastAsia" w:ascii="楷体_GB2312" w:hAnsi="楷体_GB2312" w:eastAsia="楷体_GB2312" w:cs="楷体_GB2312"/>
          <w:b/>
          <w:sz w:val="52"/>
          <w:szCs w:val="52"/>
          <w:highlight w:val="none"/>
        </w:rPr>
        <w:t xml:space="preserve">                               </w:t>
      </w:r>
    </w:p>
    <w:p w14:paraId="408C6D7B">
      <w:pPr>
        <w:spacing w:line="380" w:lineRule="atLeast"/>
        <w:ind w:left="-199" w:leftChars="-95"/>
        <w:jc w:val="center"/>
        <w:rPr>
          <w:rFonts w:hint="eastAsia" w:ascii="楷体_GB2312" w:hAnsi="楷体_GB2312" w:eastAsia="楷体_GB2312" w:cs="楷体_GB2312"/>
          <w:b/>
          <w:sz w:val="52"/>
          <w:szCs w:val="52"/>
          <w:highlight w:val="none"/>
        </w:rPr>
      </w:pPr>
    </w:p>
    <w:p w14:paraId="6650E3B2">
      <w:pPr>
        <w:spacing w:line="380" w:lineRule="atLeast"/>
        <w:ind w:left="-199" w:leftChars="-95"/>
        <w:jc w:val="center"/>
        <w:rPr>
          <w:rFonts w:hint="eastAsia" w:ascii="楷体_GB2312" w:hAnsi="楷体_GB2312" w:eastAsia="楷体_GB2312" w:cs="楷体_GB2312"/>
          <w:b/>
          <w:sz w:val="52"/>
          <w:szCs w:val="52"/>
          <w:highlight w:val="none"/>
        </w:rPr>
      </w:pPr>
    </w:p>
    <w:p w14:paraId="483BFF9A">
      <w:pPr>
        <w:spacing w:line="380" w:lineRule="atLeast"/>
        <w:ind w:left="-199" w:leftChars="-95"/>
        <w:jc w:val="center"/>
        <w:rPr>
          <w:rFonts w:hint="eastAsia" w:ascii="楷体_GB2312" w:hAnsi="楷体_GB2312" w:eastAsia="楷体_GB2312" w:cs="楷体_GB2312"/>
          <w:b/>
          <w:sz w:val="52"/>
          <w:szCs w:val="52"/>
          <w:highlight w:val="none"/>
        </w:rPr>
      </w:pPr>
    </w:p>
    <w:p w14:paraId="40C98BEA">
      <w:pPr>
        <w:spacing w:line="380" w:lineRule="atLeast"/>
        <w:ind w:left="-199" w:leftChars="-95"/>
        <w:jc w:val="center"/>
        <w:rPr>
          <w:rFonts w:hint="eastAsia" w:ascii="楷体_GB2312" w:hAnsi="楷体_GB2312" w:eastAsia="楷体_GB2312" w:cs="楷体_GB2312"/>
          <w:b/>
          <w:sz w:val="52"/>
          <w:szCs w:val="52"/>
          <w:highlight w:val="none"/>
        </w:rPr>
      </w:pPr>
    </w:p>
    <w:p w14:paraId="0F09691A">
      <w:pPr>
        <w:spacing w:line="380" w:lineRule="atLeast"/>
        <w:ind w:left="-199" w:leftChars="-95"/>
        <w:jc w:val="center"/>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公</w:t>
      </w:r>
    </w:p>
    <w:p w14:paraId="7711BCCB">
      <w:pPr>
        <w:spacing w:line="380" w:lineRule="atLeast"/>
        <w:ind w:left="-199" w:leftChars="-95"/>
        <w:jc w:val="center"/>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开</w:t>
      </w:r>
    </w:p>
    <w:p w14:paraId="7E84BA58">
      <w:pPr>
        <w:spacing w:line="380" w:lineRule="atLeast"/>
        <w:ind w:left="-199" w:leftChars="-95"/>
        <w:jc w:val="center"/>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询</w:t>
      </w:r>
    </w:p>
    <w:p w14:paraId="44EDB2E3">
      <w:pPr>
        <w:spacing w:line="380" w:lineRule="atLeast"/>
        <w:ind w:left="-199" w:leftChars="-95"/>
        <w:jc w:val="center"/>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价</w:t>
      </w:r>
    </w:p>
    <w:p w14:paraId="6DF47E1C">
      <w:pPr>
        <w:pStyle w:val="28"/>
        <w:spacing w:line="360" w:lineRule="auto"/>
        <w:ind w:firstLine="0" w:firstLineChars="0"/>
        <w:jc w:val="center"/>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文</w:t>
      </w:r>
    </w:p>
    <w:p w14:paraId="5796FB98">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_GB2312" w:hAnsi="楷体_GB2312" w:eastAsia="楷体_GB2312" w:cs="楷体_GB2312"/>
          <w:b/>
          <w:sz w:val="52"/>
          <w:szCs w:val="52"/>
          <w:highlight w:val="none"/>
        </w:rPr>
        <w:t xml:space="preserve">件 </w:t>
      </w:r>
    </w:p>
    <w:p w14:paraId="563EE722">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4635F94A">
      <w:pPr>
        <w:pStyle w:val="2"/>
        <w:ind w:firstLine="1124" w:firstLineChars="400"/>
        <w:rPr>
          <w:rFonts w:hint="eastAsia" w:ascii="楷体_GB2312" w:hAnsi="楷体_GB2312" w:eastAsia="楷体_GB2312" w:cs="楷体_GB2312"/>
          <w:b/>
          <w:bCs w:val="0"/>
          <w:szCs w:val="28"/>
          <w:highlight w:val="none"/>
        </w:rPr>
      </w:pPr>
      <w:r>
        <w:rPr>
          <w:rFonts w:hint="eastAsia" w:ascii="楷体_GB2312" w:hAnsi="楷体_GB2312" w:eastAsia="楷体_GB2312" w:cs="楷体_GB2312"/>
          <w:b/>
          <w:bCs w:val="0"/>
          <w:szCs w:val="28"/>
          <w:highlight w:val="none"/>
        </w:rPr>
        <w:t>采购人：海南洋浦陆海能源发展有限公司</w:t>
      </w:r>
    </w:p>
    <w:p w14:paraId="1FA961FA">
      <w:pPr>
        <w:pStyle w:val="2"/>
        <w:ind w:firstLine="1124" w:firstLineChars="400"/>
        <w:rPr>
          <w:rFonts w:hint="eastAsia" w:ascii="楷体_GB2312" w:hAnsi="楷体_GB2312" w:eastAsia="楷体_GB2312" w:cs="楷体_GB2312"/>
          <w:b/>
          <w:bCs w:val="0"/>
          <w:szCs w:val="28"/>
          <w:highlight w:val="none"/>
        </w:rPr>
      </w:pPr>
      <w:r>
        <w:rPr>
          <w:rFonts w:hint="eastAsia" w:ascii="楷体_GB2312" w:hAnsi="楷体_GB2312" w:eastAsia="楷体_GB2312" w:cs="楷体_GB2312"/>
          <w:b/>
          <w:bCs w:val="0"/>
          <w:szCs w:val="28"/>
          <w:highlight w:val="none"/>
        </w:rPr>
        <w:t xml:space="preserve">时间： 2024年 12 月 </w:t>
      </w:r>
    </w:p>
    <w:p w14:paraId="40208258">
      <w:pPr>
        <w:pStyle w:val="28"/>
        <w:spacing w:line="360" w:lineRule="auto"/>
        <w:ind w:firstLine="0" w:firstLineChars="0"/>
        <w:rPr>
          <w:rFonts w:hint="eastAsia" w:ascii="楷体" w:hAnsi="楷体" w:eastAsia="楷体" w:cs="楷体"/>
          <w:b/>
          <w:bCs/>
          <w:color w:val="000000" w:themeColor="text1"/>
          <w:kern w:val="44"/>
          <w:sz w:val="24"/>
          <w:szCs w:val="24"/>
          <w:highlight w:val="none"/>
          <w14:textFill>
            <w14:solidFill>
              <w14:schemeClr w14:val="tx1"/>
            </w14:solidFill>
          </w14:textFill>
        </w:rPr>
      </w:pPr>
    </w:p>
    <w:p w14:paraId="73210A51">
      <w:pPr>
        <w:pStyle w:val="28"/>
        <w:numPr>
          <w:ilvl w:val="0"/>
          <w:numId w:val="1"/>
        </w:numPr>
        <w:spacing w:line="360" w:lineRule="exact"/>
        <w:ind w:firstLineChars="0"/>
        <w:jc w:val="center"/>
        <w:rPr>
          <w:rFonts w:hint="eastAsia" w:ascii="楷体" w:hAnsi="楷体" w:eastAsia="楷体" w:cs="楷体"/>
          <w:color w:val="000000" w:themeColor="text1"/>
          <w:sz w:val="24"/>
          <w:szCs w:val="24"/>
          <w:highlight w:val="none"/>
          <w14:textFill>
            <w14:solidFill>
              <w14:schemeClr w14:val="tx1"/>
            </w14:solidFill>
          </w14:textFill>
        </w:rPr>
        <w:sectPr>
          <w:footerReference r:id="rId3" w:type="default"/>
          <w:pgSz w:w="11906" w:h="16838"/>
          <w:pgMar w:top="1440" w:right="1800" w:bottom="1247" w:left="1800" w:header="851" w:footer="992" w:gutter="0"/>
          <w:pgNumType w:start="1"/>
          <w:cols w:space="0" w:num="1"/>
          <w:docGrid w:type="lines" w:linePitch="312" w:charSpace="0"/>
        </w:sectPr>
      </w:pPr>
    </w:p>
    <w:p w14:paraId="2A881614">
      <w:pPr>
        <w:pStyle w:val="28"/>
        <w:numPr>
          <w:ilvl w:val="0"/>
          <w:numId w:val="1"/>
        </w:numPr>
        <w:spacing w:line="360" w:lineRule="exact"/>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公开询价报价人须知</w:t>
      </w:r>
    </w:p>
    <w:p w14:paraId="41C3B949">
      <w:pPr>
        <w:adjustRightInd w:val="0"/>
        <w:snapToGrid w:val="0"/>
        <w:spacing w:line="360" w:lineRule="exact"/>
        <w:jc w:val="right"/>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14:textFill>
            <w14:solidFill>
              <w14:schemeClr w14:val="tx1"/>
            </w14:solidFill>
          </w14:textFill>
        </w:rPr>
        <w:t xml:space="preserve">                  </w:t>
      </w:r>
    </w:p>
    <w:tbl>
      <w:tblPr>
        <w:tblStyle w:val="20"/>
        <w:tblW w:w="8260" w:type="dxa"/>
        <w:tblInd w:w="9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513"/>
        <w:gridCol w:w="4981"/>
      </w:tblGrid>
      <w:tr w14:paraId="2113B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260" w:type="dxa"/>
            <w:gridSpan w:val="3"/>
            <w:tcBorders>
              <w:top w:val="single" w:color="auto" w:sz="8" w:space="0"/>
            </w:tcBorders>
            <w:vAlign w:val="center"/>
          </w:tcPr>
          <w:p w14:paraId="0CA7EBF5">
            <w:pPr>
              <w:spacing w:line="360" w:lineRule="atLeast"/>
              <w:ind w:firstLine="480" w:firstLineChars="20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海南洋浦陆海能源发展有限公司</w:t>
            </w:r>
            <w:r>
              <w:rPr>
                <w:rFonts w:hint="eastAsia" w:ascii="楷体" w:hAnsi="楷体" w:eastAsia="楷体" w:cs="楷体"/>
                <w:color w:val="000000" w:themeColor="text1"/>
                <w:sz w:val="24"/>
                <w:szCs w:val="24"/>
                <w:highlight w:val="none"/>
                <w:u w:val="single"/>
                <w14:textFill>
                  <w14:solidFill>
                    <w14:schemeClr w14:val="tx1"/>
                  </w14:solidFill>
                </w14:textFill>
              </w:rPr>
              <w:t>石灰石碎石、机制砂采购及运输</w:t>
            </w:r>
            <w:r>
              <w:rPr>
                <w:rFonts w:hint="eastAsia" w:ascii="楷体" w:hAnsi="楷体" w:eastAsia="楷体" w:cs="楷体"/>
                <w:color w:val="000000" w:themeColor="text1"/>
                <w:sz w:val="24"/>
                <w:szCs w:val="24"/>
                <w:highlight w:val="none"/>
                <w14:textFill>
                  <w14:solidFill>
                    <w14:schemeClr w14:val="tx1"/>
                  </w14:solidFill>
                </w14:textFill>
              </w:rPr>
              <w:t>，根据需要，拟按照</w:t>
            </w:r>
            <w:r>
              <w:rPr>
                <w:rFonts w:hint="eastAsia" w:ascii="楷体" w:hAnsi="楷体" w:eastAsia="楷体" w:cs="楷体"/>
                <w:color w:val="000000" w:themeColor="text1"/>
                <w:sz w:val="24"/>
                <w:szCs w:val="24"/>
                <w:highlight w:val="none"/>
                <w:u w:val="single"/>
                <w14:textFill>
                  <w14:solidFill>
                    <w14:schemeClr w14:val="tx1"/>
                  </w14:solidFill>
                </w14:textFill>
              </w:rPr>
              <w:t>公开询价</w:t>
            </w:r>
            <w:r>
              <w:rPr>
                <w:rFonts w:hint="eastAsia" w:ascii="楷体" w:hAnsi="楷体" w:eastAsia="楷体" w:cs="楷体"/>
                <w:color w:val="000000" w:themeColor="text1"/>
                <w:sz w:val="24"/>
                <w:szCs w:val="24"/>
                <w:highlight w:val="none"/>
                <w14:textFill>
                  <w14:solidFill>
                    <w14:schemeClr w14:val="tx1"/>
                  </w14:solidFill>
                </w14:textFill>
              </w:rPr>
              <w:t xml:space="preserve">方式进行采购，具体采购事项如下： </w:t>
            </w:r>
          </w:p>
        </w:tc>
      </w:tr>
      <w:tr w14:paraId="217D3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66" w:type="dxa"/>
            <w:vAlign w:val="center"/>
          </w:tcPr>
          <w:p w14:paraId="0DA9D66E">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2513" w:type="dxa"/>
            <w:vAlign w:val="center"/>
          </w:tcPr>
          <w:p w14:paraId="4793F3E1">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w:t>
            </w:r>
          </w:p>
        </w:tc>
        <w:tc>
          <w:tcPr>
            <w:tcW w:w="4981" w:type="dxa"/>
            <w:vAlign w:val="center"/>
          </w:tcPr>
          <w:p w14:paraId="11FFE83E">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内容</w:t>
            </w:r>
          </w:p>
        </w:tc>
      </w:tr>
      <w:tr w14:paraId="4E58C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6" w:type="dxa"/>
            <w:vAlign w:val="center"/>
          </w:tcPr>
          <w:p w14:paraId="5C835039">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2513" w:type="dxa"/>
            <w:vAlign w:val="center"/>
          </w:tcPr>
          <w:p w14:paraId="34A990D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公开询价单位</w:t>
            </w:r>
          </w:p>
        </w:tc>
        <w:tc>
          <w:tcPr>
            <w:tcW w:w="4981" w:type="dxa"/>
            <w:vAlign w:val="center"/>
          </w:tcPr>
          <w:p w14:paraId="68277FA5">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海南洋浦陆海能源发展有限公司</w:t>
            </w:r>
          </w:p>
        </w:tc>
      </w:tr>
      <w:tr w14:paraId="0B9F4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766" w:type="dxa"/>
            <w:vAlign w:val="center"/>
          </w:tcPr>
          <w:p w14:paraId="3E9C4EFB">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2513" w:type="dxa"/>
            <w:vAlign w:val="center"/>
          </w:tcPr>
          <w:p w14:paraId="0D8ECA7A">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公开询价内容</w:t>
            </w:r>
          </w:p>
        </w:tc>
        <w:tc>
          <w:tcPr>
            <w:tcW w:w="4981" w:type="dxa"/>
            <w:vAlign w:val="center"/>
          </w:tcPr>
          <w:p w14:paraId="39FA7540">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填写内容：</w:t>
            </w:r>
          </w:p>
          <w:p w14:paraId="5870E44D">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1.采购货物名称/数量（详见报价书）；</w:t>
            </w:r>
          </w:p>
          <w:p w14:paraId="7DF345D2">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2.质量标准及服务质量要求，详见第</w:t>
            </w:r>
            <w:r>
              <w:rPr>
                <w:rFonts w:hint="eastAsia" w:ascii="楷体" w:hAnsi="楷体" w:eastAsia="楷体" w:cs="楷体"/>
                <w:color w:val="auto"/>
                <w:sz w:val="24"/>
                <w:szCs w:val="24"/>
                <w:highlight w:val="none"/>
                <w:lang w:val="en-US" w:eastAsia="zh-CN"/>
              </w:rPr>
              <w:t>一</w:t>
            </w:r>
            <w:r>
              <w:rPr>
                <w:rFonts w:hint="eastAsia" w:ascii="楷体" w:hAnsi="楷体" w:eastAsia="楷体" w:cs="楷体"/>
                <w:color w:val="auto"/>
                <w:sz w:val="24"/>
                <w:szCs w:val="24"/>
                <w:highlight w:val="none"/>
              </w:rPr>
              <w:t>章报价人须知二（二）3；</w:t>
            </w:r>
          </w:p>
          <w:p w14:paraId="78CA800C">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3.公开询价报价文件获取方式：在网页附件处下载电子版文件</w:t>
            </w:r>
          </w:p>
        </w:tc>
      </w:tr>
      <w:tr w14:paraId="47120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766" w:type="dxa"/>
            <w:vAlign w:val="center"/>
          </w:tcPr>
          <w:p w14:paraId="78B9488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2513" w:type="dxa"/>
            <w:vAlign w:val="center"/>
          </w:tcPr>
          <w:p w14:paraId="77202B4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开始时间</w:t>
            </w:r>
          </w:p>
        </w:tc>
        <w:tc>
          <w:tcPr>
            <w:tcW w:w="4981" w:type="dxa"/>
            <w:vAlign w:val="center"/>
          </w:tcPr>
          <w:p w14:paraId="2828FA2B">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sz w:val="24"/>
                <w:szCs w:val="24"/>
                <w:highlight w:val="none"/>
              </w:rPr>
              <w:t>2024年12</w:t>
            </w:r>
            <w:r>
              <w:rPr>
                <w:rFonts w:hint="eastAsia" w:ascii="楷体" w:hAnsi="楷体" w:eastAsia="楷体" w:cs="楷体"/>
                <w:color w:val="auto"/>
                <w:sz w:val="24"/>
                <w:szCs w:val="24"/>
                <w:highlight w:val="none"/>
              </w:rPr>
              <w:t>月</w:t>
            </w:r>
            <w:r>
              <w:rPr>
                <w:rFonts w:hint="eastAsia" w:ascii="楷体" w:hAnsi="楷体" w:eastAsia="楷体" w:cs="楷体"/>
                <w:sz w:val="24"/>
                <w:szCs w:val="24"/>
                <w:highlight w:val="none"/>
                <w:lang w:val="en-US" w:eastAsia="zh-CN"/>
              </w:rPr>
              <w:t>31</w:t>
            </w:r>
            <w:r>
              <w:rPr>
                <w:rFonts w:hint="eastAsia" w:ascii="楷体" w:hAnsi="楷体" w:eastAsia="楷体" w:cs="楷体"/>
                <w:color w:val="auto"/>
                <w:sz w:val="24"/>
                <w:szCs w:val="24"/>
                <w:highlight w:val="none"/>
              </w:rPr>
              <w:t>日</w:t>
            </w:r>
          </w:p>
        </w:tc>
      </w:tr>
      <w:tr w14:paraId="436F0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3" w:hRule="exact"/>
        </w:trPr>
        <w:tc>
          <w:tcPr>
            <w:tcW w:w="766" w:type="dxa"/>
            <w:vAlign w:val="center"/>
          </w:tcPr>
          <w:p w14:paraId="189A3C3D">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2513" w:type="dxa"/>
            <w:vAlign w:val="center"/>
          </w:tcPr>
          <w:p w14:paraId="7005A761">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报价书递交时间地点</w:t>
            </w:r>
          </w:p>
        </w:tc>
        <w:tc>
          <w:tcPr>
            <w:tcW w:w="4981" w:type="dxa"/>
            <w:vAlign w:val="center"/>
          </w:tcPr>
          <w:p w14:paraId="23F32F6C">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截至202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年1月</w:t>
            </w:r>
            <w:r>
              <w:rPr>
                <w:rFonts w:hint="eastAsia" w:ascii="楷体" w:hAnsi="楷体" w:eastAsia="楷体" w:cs="楷体"/>
                <w:sz w:val="24"/>
                <w:szCs w:val="24"/>
                <w:highlight w:val="none"/>
                <w:lang w:val="en-US" w:eastAsia="zh-CN"/>
              </w:rPr>
              <w:t>3</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val="en-US" w:eastAsia="zh-CN"/>
              </w:rPr>
              <w:t>下</w:t>
            </w:r>
            <w:r>
              <w:rPr>
                <w:rFonts w:hint="eastAsia" w:ascii="楷体" w:hAnsi="楷体" w:eastAsia="楷体" w:cs="楷体"/>
                <w:color w:val="auto"/>
                <w:sz w:val="24"/>
                <w:szCs w:val="24"/>
                <w:highlight w:val="none"/>
              </w:rPr>
              <w:t>午1</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：30纸质版递交至洋浦大厦3楼311室或电子版发送至指定电子邮箱luhaimygs@hnyplh.com。</w:t>
            </w:r>
          </w:p>
        </w:tc>
      </w:tr>
      <w:tr w14:paraId="2310F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66" w:type="dxa"/>
            <w:vAlign w:val="center"/>
          </w:tcPr>
          <w:p w14:paraId="16616FED">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2513" w:type="dxa"/>
            <w:vAlign w:val="center"/>
          </w:tcPr>
          <w:p w14:paraId="330F8C39">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联系人及电话</w:t>
            </w:r>
          </w:p>
        </w:tc>
        <w:tc>
          <w:tcPr>
            <w:tcW w:w="4981" w:type="dxa"/>
            <w:vAlign w:val="center"/>
          </w:tcPr>
          <w:p w14:paraId="7683383A">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胡工/0898-28810376</w:t>
            </w:r>
          </w:p>
        </w:tc>
      </w:tr>
      <w:tr w14:paraId="0262D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766" w:type="dxa"/>
            <w:vAlign w:val="center"/>
          </w:tcPr>
          <w:p w14:paraId="5D75AD01">
            <w:pPr>
              <w:spacing w:line="360" w:lineRule="atLeast"/>
              <w:jc w:val="center"/>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p>
        </w:tc>
        <w:tc>
          <w:tcPr>
            <w:tcW w:w="2513" w:type="dxa"/>
            <w:vAlign w:val="center"/>
          </w:tcPr>
          <w:p w14:paraId="067AF7B4">
            <w:pPr>
              <w:spacing w:line="360" w:lineRule="atLeast"/>
              <w:jc w:val="center"/>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廉政监督电话</w:t>
            </w:r>
          </w:p>
        </w:tc>
        <w:tc>
          <w:tcPr>
            <w:tcW w:w="4981" w:type="dxa"/>
            <w:vAlign w:val="center"/>
          </w:tcPr>
          <w:p w14:paraId="367D5CEE">
            <w:pPr>
              <w:spacing w:line="360" w:lineRule="atLeast"/>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0898-28810186 </w:t>
            </w:r>
          </w:p>
        </w:tc>
      </w:tr>
      <w:tr w14:paraId="3F4A2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766" w:type="dxa"/>
            <w:vAlign w:val="center"/>
          </w:tcPr>
          <w:p w14:paraId="24739C2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p>
        </w:tc>
        <w:tc>
          <w:tcPr>
            <w:tcW w:w="2513" w:type="dxa"/>
            <w:vAlign w:val="center"/>
          </w:tcPr>
          <w:p w14:paraId="0239F557">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送货地址</w:t>
            </w:r>
          </w:p>
        </w:tc>
        <w:tc>
          <w:tcPr>
            <w:tcW w:w="4981" w:type="dxa"/>
            <w:vAlign w:val="center"/>
          </w:tcPr>
          <w:p w14:paraId="0485B013">
            <w:pPr>
              <w:pStyle w:val="38"/>
              <w:widowControl/>
              <w:spacing w:before="190" w:line="220" w:lineRule="auto"/>
              <w:rPr>
                <w:rFonts w:hint="eastAsia" w:ascii="楷体" w:hAnsi="楷体" w:eastAsia="楷体" w:cs="楷体"/>
                <w:snapToGrid/>
                <w:color w:val="auto"/>
                <w:spacing w:val="0"/>
                <w:kern w:val="2"/>
                <w:sz w:val="24"/>
                <w:szCs w:val="24"/>
                <w:highlight w:val="none"/>
              </w:rPr>
            </w:pPr>
            <w:r>
              <w:rPr>
                <w:rFonts w:hint="eastAsia" w:ascii="楷体" w:hAnsi="楷体" w:eastAsia="楷体" w:cs="楷体"/>
                <w:snapToGrid/>
                <w:color w:val="auto"/>
                <w:spacing w:val="0"/>
                <w:kern w:val="2"/>
                <w:sz w:val="24"/>
                <w:szCs w:val="24"/>
                <w:highlight w:val="none"/>
              </w:rPr>
              <w:t>洋浦洋浦开发区</w:t>
            </w:r>
            <w:r>
              <w:rPr>
                <w:rFonts w:hint="eastAsia" w:ascii="楷体" w:hAnsi="楷体" w:eastAsia="楷体" w:cs="楷体"/>
                <w:sz w:val="24"/>
                <w:szCs w:val="24"/>
                <w:highlight w:val="none"/>
              </w:rPr>
              <w:t>或</w:t>
            </w:r>
            <w:r>
              <w:rPr>
                <w:rFonts w:hint="eastAsia" w:ascii="楷体" w:hAnsi="楷体" w:eastAsia="楷体" w:cs="楷体"/>
                <w:snapToGrid/>
                <w:color w:val="auto"/>
                <w:spacing w:val="0"/>
                <w:kern w:val="2"/>
                <w:sz w:val="24"/>
                <w:szCs w:val="24"/>
                <w:highlight w:val="none"/>
              </w:rPr>
              <w:t>儋州东成镇项目所在地</w:t>
            </w:r>
          </w:p>
          <w:p w14:paraId="17C0757D">
            <w:pPr>
              <w:pStyle w:val="38"/>
              <w:widowControl/>
              <w:spacing w:before="190" w:line="220" w:lineRule="auto"/>
              <w:jc w:val="both"/>
              <w:rPr>
                <w:rFonts w:hint="eastAsia" w:ascii="微软雅黑" w:hAnsi="微软雅黑" w:eastAsia="微软雅黑" w:cs="微软雅黑"/>
                <w:snapToGrid w:val="0"/>
                <w:color w:val="000000"/>
                <w:spacing w:val="2"/>
                <w:kern w:val="0"/>
                <w:sz w:val="21"/>
                <w:szCs w:val="21"/>
                <w:highlight w:val="none"/>
              </w:rPr>
            </w:pPr>
            <w:r>
              <w:rPr>
                <w:rFonts w:hint="eastAsia" w:ascii="微软雅黑" w:hAnsi="微软雅黑" w:eastAsia="微软雅黑" w:cs="微软雅黑"/>
                <w:snapToGrid w:val="0"/>
                <w:color w:val="000000"/>
                <w:spacing w:val="2"/>
                <w:kern w:val="0"/>
                <w:sz w:val="21"/>
                <w:szCs w:val="21"/>
                <w:highlight w:val="none"/>
              </w:rPr>
              <w:t>开洋浦开发区、儋州东成镇项目所在地</w:t>
            </w:r>
          </w:p>
          <w:p w14:paraId="4D6809CD">
            <w:pPr>
              <w:pStyle w:val="38"/>
              <w:widowControl/>
              <w:spacing w:before="190" w:line="220" w:lineRule="auto"/>
              <w:jc w:val="both"/>
              <w:rPr>
                <w:rFonts w:hint="eastAsia" w:ascii="微软雅黑" w:hAnsi="微软雅黑" w:eastAsia="微软雅黑" w:cs="微软雅黑"/>
                <w:snapToGrid w:val="0"/>
                <w:color w:val="000000"/>
                <w:spacing w:val="2"/>
                <w:kern w:val="0"/>
                <w:sz w:val="21"/>
                <w:szCs w:val="21"/>
                <w:highlight w:val="none"/>
              </w:rPr>
            </w:pPr>
            <w:r>
              <w:rPr>
                <w:rFonts w:hint="eastAsia" w:ascii="微软雅黑" w:hAnsi="微软雅黑" w:eastAsia="微软雅黑" w:cs="微软雅黑"/>
                <w:snapToGrid w:val="0"/>
                <w:color w:val="000000"/>
                <w:spacing w:val="2"/>
                <w:kern w:val="0"/>
                <w:sz w:val="21"/>
                <w:szCs w:val="21"/>
                <w:highlight w:val="none"/>
              </w:rPr>
              <w:t>发区、儋州东成镇项目所在地</w:t>
            </w:r>
          </w:p>
          <w:p w14:paraId="2B4CE06B">
            <w:pPr>
              <w:spacing w:line="360" w:lineRule="atLeast"/>
              <w:jc w:val="both"/>
              <w:rPr>
                <w:rFonts w:hint="eastAsia" w:ascii="楷体" w:hAnsi="楷体" w:eastAsia="楷体" w:cs="楷体"/>
                <w:color w:val="auto"/>
                <w:sz w:val="24"/>
                <w:szCs w:val="24"/>
                <w:highlight w:val="none"/>
              </w:rPr>
            </w:pPr>
          </w:p>
        </w:tc>
      </w:tr>
      <w:tr w14:paraId="76203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766" w:type="dxa"/>
            <w:vAlign w:val="center"/>
          </w:tcPr>
          <w:p w14:paraId="33F8BEE8">
            <w:pPr>
              <w:spacing w:line="360" w:lineRule="atLeast"/>
              <w:jc w:val="center"/>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w:t>
            </w:r>
          </w:p>
        </w:tc>
        <w:tc>
          <w:tcPr>
            <w:tcW w:w="2513" w:type="dxa"/>
            <w:vAlign w:val="center"/>
          </w:tcPr>
          <w:p w14:paraId="7712041A">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暂定数量</w:t>
            </w:r>
          </w:p>
        </w:tc>
        <w:tc>
          <w:tcPr>
            <w:tcW w:w="4981" w:type="dxa"/>
            <w:vAlign w:val="center"/>
          </w:tcPr>
          <w:p w14:paraId="21EEA847">
            <w:pPr>
              <w:spacing w:line="360" w:lineRule="atLeast"/>
              <w:jc w:val="both"/>
              <w:rPr>
                <w:rFonts w:hint="eastAsia" w:ascii="楷体" w:hAnsi="楷体" w:eastAsia="楷体" w:cs="楷体"/>
                <w:snapToGrid/>
                <w:color w:val="auto"/>
                <w:spacing w:val="0"/>
                <w:kern w:val="2"/>
                <w:sz w:val="24"/>
                <w:szCs w:val="24"/>
                <w:highlight w:val="none"/>
                <w:shd w:val="clear" w:fill="auto"/>
                <w:lang w:val="en-US" w:eastAsia="zh-CN"/>
              </w:rPr>
            </w:pPr>
            <w:r>
              <w:rPr>
                <w:rFonts w:hint="eastAsia" w:ascii="楷体" w:hAnsi="楷体" w:eastAsia="楷体" w:cs="楷体"/>
                <w:snapToGrid/>
                <w:color w:val="auto"/>
                <w:spacing w:val="0"/>
                <w:kern w:val="2"/>
                <w:sz w:val="24"/>
                <w:szCs w:val="24"/>
                <w:highlight w:val="none"/>
                <w:shd w:val="clear" w:fill="auto"/>
                <w:lang w:val="en-US" w:eastAsia="zh-CN"/>
              </w:rPr>
              <w:t>约1万吨，数量为暂定数量，具体以实际需求为准。</w:t>
            </w:r>
          </w:p>
        </w:tc>
      </w:tr>
      <w:tr w14:paraId="59892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3" w:hRule="exact"/>
        </w:trPr>
        <w:tc>
          <w:tcPr>
            <w:tcW w:w="766" w:type="dxa"/>
            <w:vAlign w:val="center"/>
          </w:tcPr>
          <w:p w14:paraId="00644327">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sz w:val="24"/>
                <w:szCs w:val="24"/>
                <w:highlight w:val="none"/>
                <w:lang w:val="en-US" w:eastAsia="zh-CN"/>
              </w:rPr>
              <w:t>9</w:t>
            </w:r>
          </w:p>
        </w:tc>
        <w:tc>
          <w:tcPr>
            <w:tcW w:w="2513" w:type="dxa"/>
            <w:vAlign w:val="center"/>
          </w:tcPr>
          <w:p w14:paraId="2170E318">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z w:val="24"/>
                <w:szCs w:val="24"/>
                <w:highlight w:val="none"/>
              </w:rPr>
              <w:t>评分方法</w:t>
            </w:r>
          </w:p>
        </w:tc>
        <w:tc>
          <w:tcPr>
            <w:tcW w:w="4981" w:type="dxa"/>
            <w:vAlign w:val="center"/>
          </w:tcPr>
          <w:p w14:paraId="02C4E4D8">
            <w:pPr>
              <w:spacing w:line="360" w:lineRule="atLeas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低价评审法</w:t>
            </w:r>
          </w:p>
          <w:p w14:paraId="568BDB27">
            <w:pPr>
              <w:spacing w:line="360" w:lineRule="atLeas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（1）符合性评审：</w:t>
            </w:r>
          </w:p>
          <w:p w14:paraId="4E635936">
            <w:pPr>
              <w:spacing w:line="360" w:lineRule="atLeas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符合第</w:t>
            </w:r>
            <w:r>
              <w:rPr>
                <w:rFonts w:hint="eastAsia" w:ascii="楷体" w:hAnsi="楷体" w:eastAsia="楷体" w:cs="楷体"/>
                <w:sz w:val="24"/>
                <w:szCs w:val="24"/>
                <w:highlight w:val="none"/>
                <w:lang w:val="en-US" w:eastAsia="zh-CN"/>
              </w:rPr>
              <w:t>一</w:t>
            </w:r>
            <w:r>
              <w:rPr>
                <w:rFonts w:hint="eastAsia" w:ascii="楷体" w:hAnsi="楷体" w:eastAsia="楷体" w:cs="楷体"/>
                <w:sz w:val="24"/>
                <w:szCs w:val="24"/>
                <w:highlight w:val="none"/>
              </w:rPr>
              <w:t>章报价人须知二（二）3.1款要求。</w:t>
            </w:r>
          </w:p>
          <w:p w14:paraId="546248A1">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sz w:val="24"/>
                <w:szCs w:val="24"/>
                <w:highlight w:val="none"/>
              </w:rPr>
              <w:t>（2）价格评审：通过符合性审查的报价单位，进入价格评审。</w:t>
            </w:r>
            <w:r>
              <w:rPr>
                <w:rFonts w:hint="eastAsia" w:ascii="楷体" w:hAnsi="楷体" w:eastAsia="楷体" w:cs="楷体"/>
                <w:b w:val="0"/>
                <w:bCs w:val="0"/>
                <w:sz w:val="24"/>
                <w:szCs w:val="24"/>
                <w:highlight w:val="none"/>
              </w:rPr>
              <w:t>按照报价单位报                               价由低到高确定1名成交候选人。</w:t>
            </w:r>
          </w:p>
        </w:tc>
      </w:tr>
      <w:tr w14:paraId="74338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766" w:type="dxa"/>
            <w:vMerge w:val="restart"/>
            <w:vAlign w:val="center"/>
          </w:tcPr>
          <w:p w14:paraId="7D473E90">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sz w:val="24"/>
                <w:szCs w:val="24"/>
                <w:highlight w:val="none"/>
                <w:lang w:val="en-US" w:eastAsia="zh-CN"/>
              </w:rPr>
              <w:t>10</w:t>
            </w:r>
          </w:p>
        </w:tc>
        <w:tc>
          <w:tcPr>
            <w:tcW w:w="2513" w:type="dxa"/>
            <w:vMerge w:val="restart"/>
            <w:vAlign w:val="center"/>
          </w:tcPr>
          <w:p w14:paraId="313819C4">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z w:val="24"/>
                <w:szCs w:val="24"/>
                <w:highlight w:val="none"/>
              </w:rPr>
              <w:t>其他要求</w:t>
            </w:r>
          </w:p>
        </w:tc>
        <w:tc>
          <w:tcPr>
            <w:tcW w:w="4981" w:type="dxa"/>
            <w:vAlign w:val="center"/>
          </w:tcPr>
          <w:p w14:paraId="50414CFE">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sz w:val="24"/>
                <w:szCs w:val="24"/>
                <w:highlight w:val="none"/>
              </w:rPr>
              <w:t>采购人对成交候选人进行现场考察，并有权对成交候选人进行综合评判是否具备供货和质量保障能力。若不满足，则取消成交候选人资格。</w:t>
            </w:r>
          </w:p>
        </w:tc>
      </w:tr>
      <w:tr w14:paraId="6E4CE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exact"/>
        </w:trPr>
        <w:tc>
          <w:tcPr>
            <w:tcW w:w="766" w:type="dxa"/>
            <w:vMerge w:val="continue"/>
            <w:vAlign w:val="center"/>
          </w:tcPr>
          <w:p w14:paraId="7914280A">
            <w:pPr>
              <w:spacing w:line="360" w:lineRule="atLeast"/>
              <w:jc w:val="center"/>
              <w:rPr>
                <w:rFonts w:hint="eastAsia" w:ascii="楷体" w:hAnsi="楷体" w:eastAsia="楷体" w:cs="楷体"/>
                <w:sz w:val="24"/>
                <w:szCs w:val="24"/>
                <w:highlight w:val="none"/>
              </w:rPr>
            </w:pPr>
          </w:p>
        </w:tc>
        <w:tc>
          <w:tcPr>
            <w:tcW w:w="2513" w:type="dxa"/>
            <w:vMerge w:val="continue"/>
            <w:vAlign w:val="center"/>
          </w:tcPr>
          <w:p w14:paraId="1550F70E">
            <w:pPr>
              <w:spacing w:line="360" w:lineRule="atLeast"/>
              <w:jc w:val="center"/>
              <w:rPr>
                <w:rFonts w:hint="eastAsia" w:ascii="楷体" w:hAnsi="楷体" w:eastAsia="楷体" w:cs="楷体"/>
                <w:sz w:val="24"/>
                <w:szCs w:val="24"/>
                <w:highlight w:val="none"/>
              </w:rPr>
            </w:pPr>
          </w:p>
        </w:tc>
        <w:tc>
          <w:tcPr>
            <w:tcW w:w="4981" w:type="dxa"/>
            <w:vAlign w:val="center"/>
          </w:tcPr>
          <w:p w14:paraId="5E228B75">
            <w:pPr>
              <w:spacing w:line="360" w:lineRule="atLeas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经过初步评审有效投标不足三家或投标人不足三家时，评标委员会认为项目竞争充分时可继续评审，从通过初步评审的有效投标人中确定中标候选人。</w:t>
            </w:r>
          </w:p>
        </w:tc>
      </w:tr>
      <w:tr w14:paraId="35CD3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exact"/>
        </w:trPr>
        <w:tc>
          <w:tcPr>
            <w:tcW w:w="766" w:type="dxa"/>
            <w:vMerge w:val="continue"/>
            <w:vAlign w:val="center"/>
          </w:tcPr>
          <w:p w14:paraId="17C3CF41">
            <w:pPr>
              <w:spacing w:line="360" w:lineRule="atLeast"/>
              <w:jc w:val="center"/>
              <w:rPr>
                <w:rFonts w:hint="eastAsia" w:ascii="楷体" w:hAnsi="楷体" w:eastAsia="楷体" w:cs="楷体"/>
                <w:sz w:val="24"/>
                <w:szCs w:val="24"/>
                <w:highlight w:val="none"/>
              </w:rPr>
            </w:pPr>
          </w:p>
        </w:tc>
        <w:tc>
          <w:tcPr>
            <w:tcW w:w="2513" w:type="dxa"/>
            <w:vMerge w:val="continue"/>
            <w:vAlign w:val="center"/>
          </w:tcPr>
          <w:p w14:paraId="4DF2AC08">
            <w:pPr>
              <w:spacing w:line="360" w:lineRule="atLeast"/>
              <w:jc w:val="left"/>
              <w:rPr>
                <w:rFonts w:hint="eastAsia" w:ascii="楷体" w:hAnsi="楷体" w:eastAsia="楷体" w:cs="楷体"/>
                <w:sz w:val="24"/>
                <w:szCs w:val="24"/>
                <w:highlight w:val="none"/>
              </w:rPr>
            </w:pPr>
          </w:p>
        </w:tc>
        <w:tc>
          <w:tcPr>
            <w:tcW w:w="4981" w:type="dxa"/>
            <w:vAlign w:val="center"/>
          </w:tcPr>
          <w:p w14:paraId="71BE8A51">
            <w:pPr>
              <w:spacing w:line="360" w:lineRule="atLeas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当市场上该产品价格变动较大时，</w:t>
            </w:r>
            <w:r>
              <w:rPr>
                <w:rFonts w:hint="eastAsia" w:ascii="楷体" w:hAnsi="楷体" w:eastAsia="楷体" w:cs="楷体"/>
                <w:bCs/>
                <w:sz w:val="24"/>
                <w:szCs w:val="24"/>
                <w:highlight w:val="none"/>
              </w:rPr>
              <w:t>根据供应商书面《调价通知函》，</w:t>
            </w:r>
            <w:r>
              <w:rPr>
                <w:rFonts w:hint="eastAsia" w:ascii="楷体" w:hAnsi="楷体" w:eastAsia="楷体" w:cs="楷体"/>
                <w:sz w:val="24"/>
                <w:szCs w:val="24"/>
                <w:highlight w:val="none"/>
              </w:rPr>
              <w:t>双方可协商对此单价进行调整。</w:t>
            </w:r>
          </w:p>
        </w:tc>
      </w:tr>
    </w:tbl>
    <w:p w14:paraId="14E08B44">
      <w:pPr>
        <w:pStyle w:val="3"/>
        <w:spacing w:before="0" w:line="240" w:lineRule="auto"/>
        <w:jc w:val="center"/>
        <w:rPr>
          <w:rFonts w:hint="eastAsia" w:ascii="楷体" w:hAnsi="楷体" w:eastAsia="楷体" w:cs="楷体"/>
          <w:szCs w:val="24"/>
          <w:highlight w:val="none"/>
        </w:rPr>
        <w:sectPr>
          <w:pgSz w:w="11906" w:h="16838"/>
          <w:pgMar w:top="1440" w:right="1800" w:bottom="1247" w:left="1800" w:header="851" w:footer="992" w:gutter="0"/>
          <w:pgNumType w:start="1"/>
          <w:cols w:space="0" w:num="1"/>
          <w:docGrid w:type="lines" w:linePitch="312" w:charSpace="0"/>
        </w:sectPr>
      </w:pPr>
    </w:p>
    <w:p w14:paraId="586D9375">
      <w:pPr>
        <w:pStyle w:val="4"/>
        <w:spacing w:before="0" w:line="400" w:lineRule="exact"/>
        <w:rPr>
          <w:rFonts w:hint="eastAsia" w:ascii="楷体" w:hAnsi="楷体" w:eastAsia="楷体" w:cs="楷体"/>
          <w:sz w:val="24"/>
          <w:szCs w:val="24"/>
          <w:highlight w:val="none"/>
        </w:rPr>
      </w:pPr>
      <w:bookmarkStart w:id="2" w:name="_Toc343700738"/>
      <w:bookmarkStart w:id="3" w:name="_Toc343692940"/>
      <w:r>
        <w:rPr>
          <w:rFonts w:hint="eastAsia" w:ascii="楷体" w:hAnsi="楷体" w:eastAsia="楷体" w:cs="楷体"/>
          <w:sz w:val="24"/>
          <w:szCs w:val="24"/>
          <w:highlight w:val="none"/>
        </w:rPr>
        <w:t>一、总则</w:t>
      </w:r>
      <w:bookmarkEnd w:id="2"/>
      <w:bookmarkEnd w:id="3"/>
    </w:p>
    <w:p w14:paraId="7EBEE044">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(一)原则</w:t>
      </w:r>
    </w:p>
    <w:p w14:paraId="7BAE9F10">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坚持公开、公正、公平和诚实信用的原则。坚持质量优先，价格合理，科学评估，规范运作。</w:t>
      </w:r>
    </w:p>
    <w:p w14:paraId="75192D82">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(二)采购范围和交易方式</w:t>
      </w:r>
    </w:p>
    <w:p w14:paraId="61F3C870">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1．公开询价结束后，向成交企业发放《成交通知书》，成交企业凭《成交通知书》按照报价书价格签定具体采购合同。</w:t>
      </w:r>
    </w:p>
    <w:p w14:paraId="605D6666">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2．供货和结算方式：成交企业根据合同供货及运输服务要求，按合同规定结算。</w:t>
      </w:r>
    </w:p>
    <w:p w14:paraId="7A2E3E9A">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3．合同履行过程中，如发现成交单位实际不具备履约条件，我司可终止与该成交单位合作。</w:t>
      </w:r>
    </w:p>
    <w:p w14:paraId="5B249B32">
      <w:pPr>
        <w:spacing w:line="400" w:lineRule="exact"/>
        <w:rPr>
          <w:rFonts w:hint="eastAsia" w:ascii="楷体" w:hAnsi="楷体" w:eastAsia="楷体" w:cs="楷体"/>
          <w:bCs/>
          <w:sz w:val="24"/>
          <w:szCs w:val="24"/>
          <w:highlight w:val="none"/>
        </w:rPr>
      </w:pPr>
      <w:r>
        <w:rPr>
          <w:rFonts w:hint="eastAsia" w:ascii="楷体" w:hAnsi="楷体" w:eastAsia="楷体" w:cs="楷体"/>
          <w:b/>
          <w:sz w:val="24"/>
          <w:szCs w:val="24"/>
          <w:highlight w:val="none"/>
        </w:rPr>
        <w:t>（三）合同文本采用公开询价单位提供的合同文本。</w:t>
      </w:r>
      <w:r>
        <w:rPr>
          <w:rFonts w:hint="eastAsia" w:ascii="楷体" w:hAnsi="楷体" w:eastAsia="楷体" w:cs="楷体"/>
          <w:bCs/>
          <w:sz w:val="24"/>
          <w:szCs w:val="24"/>
          <w:highlight w:val="none"/>
        </w:rPr>
        <w:t>供货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资格，我司与备选单位签订合同。</w:t>
      </w:r>
    </w:p>
    <w:p w14:paraId="2662B3BE">
      <w:pPr>
        <w:pStyle w:val="4"/>
        <w:spacing w:before="156" w:beforeLines="50" w:after="0" w:line="400" w:lineRule="exact"/>
        <w:rPr>
          <w:rFonts w:hint="eastAsia" w:ascii="楷体" w:hAnsi="楷体" w:eastAsia="楷体" w:cs="楷体"/>
          <w:sz w:val="24"/>
          <w:szCs w:val="24"/>
          <w:highlight w:val="none"/>
        </w:rPr>
      </w:pPr>
      <w:bookmarkStart w:id="4" w:name="_Toc343692941"/>
      <w:bookmarkStart w:id="5" w:name="_Toc343700739"/>
      <w:r>
        <w:rPr>
          <w:rFonts w:hint="eastAsia" w:ascii="楷体" w:hAnsi="楷体" w:eastAsia="楷体" w:cs="楷体"/>
          <w:sz w:val="24"/>
          <w:szCs w:val="24"/>
          <w:highlight w:val="none"/>
        </w:rPr>
        <w:t>二、</w:t>
      </w:r>
      <w:bookmarkEnd w:id="4"/>
      <w:bookmarkEnd w:id="5"/>
      <w:r>
        <w:rPr>
          <w:rFonts w:hint="eastAsia" w:ascii="楷体" w:hAnsi="楷体" w:eastAsia="楷体" w:cs="楷体"/>
          <w:sz w:val="24"/>
          <w:szCs w:val="24"/>
          <w:highlight w:val="none"/>
        </w:rPr>
        <w:t>公开询价报价说明</w:t>
      </w:r>
    </w:p>
    <w:p w14:paraId="33964D0D">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(一)公开询价文件组成</w:t>
      </w:r>
    </w:p>
    <w:p w14:paraId="2816BB13">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1.公开询价函 </w:t>
      </w:r>
    </w:p>
    <w:p w14:paraId="0B138918">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2.报价人须知    </w:t>
      </w:r>
    </w:p>
    <w:p w14:paraId="077F123F">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3.合同（格式）</w:t>
      </w:r>
      <w:r>
        <w:rPr>
          <w:rFonts w:hint="eastAsia" w:ascii="楷体" w:hAnsi="楷体" w:eastAsia="楷体" w:cs="楷体"/>
          <w:bCs/>
          <w:sz w:val="24"/>
          <w:szCs w:val="24"/>
          <w:highlight w:val="none"/>
        </w:rPr>
        <w:br w:type="textWrapping"/>
      </w:r>
      <w:r>
        <w:rPr>
          <w:rFonts w:hint="eastAsia" w:ascii="楷体" w:hAnsi="楷体" w:eastAsia="楷体" w:cs="楷体"/>
          <w:bCs/>
          <w:sz w:val="24"/>
          <w:szCs w:val="24"/>
          <w:highlight w:val="none"/>
        </w:rPr>
        <w:t>4.报价书</w:t>
      </w:r>
    </w:p>
    <w:p w14:paraId="30EBBB07">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（二）报价文件具体要求</w:t>
      </w:r>
    </w:p>
    <w:p w14:paraId="5E72C199">
      <w:pPr>
        <w:spacing w:line="400" w:lineRule="exact"/>
        <w:rPr>
          <w:rFonts w:hint="eastAsia" w:ascii="楷体" w:hAnsi="楷体" w:eastAsia="楷体" w:cs="楷体"/>
          <w:bCs/>
          <w:sz w:val="24"/>
          <w:szCs w:val="24"/>
          <w:highlight w:val="none"/>
        </w:rPr>
      </w:pPr>
      <w:r>
        <w:rPr>
          <w:rFonts w:hint="eastAsia" w:ascii="楷体" w:hAnsi="楷体" w:eastAsia="楷体" w:cs="楷体"/>
          <w:b/>
          <w:sz w:val="24"/>
          <w:szCs w:val="24"/>
          <w:highlight w:val="none"/>
        </w:rPr>
        <w:t>1.本次公开询价的内容：</w:t>
      </w:r>
      <w:r>
        <w:rPr>
          <w:rFonts w:hint="eastAsia" w:ascii="楷体" w:hAnsi="楷体" w:eastAsia="楷体" w:cs="楷体"/>
          <w:sz w:val="24"/>
          <w:szCs w:val="24"/>
          <w:highlight w:val="none"/>
          <w:u w:val="single"/>
        </w:rPr>
        <w:t>详见报价书</w:t>
      </w:r>
      <w:r>
        <w:rPr>
          <w:rFonts w:hint="eastAsia" w:ascii="楷体" w:hAnsi="楷体" w:eastAsia="楷体" w:cs="楷体"/>
          <w:bCs/>
          <w:sz w:val="24"/>
          <w:szCs w:val="24"/>
          <w:highlight w:val="none"/>
        </w:rPr>
        <w:t>。</w:t>
      </w:r>
    </w:p>
    <w:p w14:paraId="737A046A">
      <w:pPr>
        <w:pStyle w:val="28"/>
        <w:spacing w:line="400" w:lineRule="exact"/>
        <w:ind w:firstLine="0" w:firstLineChars="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sz w:val="24"/>
          <w:szCs w:val="24"/>
          <w:highlight w:val="none"/>
        </w:rPr>
        <w:t>2.承包方式：</w:t>
      </w:r>
      <w:r>
        <w:rPr>
          <w:rFonts w:hint="eastAsia" w:ascii="楷体" w:hAnsi="楷体" w:eastAsia="楷体" w:cs="楷体"/>
          <w:color w:val="000000" w:themeColor="text1"/>
          <w:sz w:val="24"/>
          <w:szCs w:val="24"/>
          <w:highlight w:val="none"/>
          <w14:textFill>
            <w14:solidFill>
              <w14:schemeClr w14:val="tx1"/>
            </w14:solidFill>
          </w14:textFill>
        </w:rPr>
        <w:t>投标单价已包括货物价款、装卸、运输、供应商出售该物资应缴纳税金，以及其他所有相关服务费用。</w:t>
      </w:r>
      <w:r>
        <w:rPr>
          <w:rFonts w:hint="eastAsia" w:ascii="楷体" w:hAnsi="楷体" w:eastAsia="楷体" w:cs="楷体"/>
          <w:sz w:val="24"/>
          <w:szCs w:val="24"/>
          <w:highlight w:val="none"/>
        </w:rPr>
        <w:t>当市场上该产品价格变动较大时，</w:t>
      </w:r>
      <w:r>
        <w:rPr>
          <w:rFonts w:hint="eastAsia" w:ascii="楷体" w:hAnsi="楷体" w:eastAsia="楷体" w:cs="楷体"/>
          <w:bCs/>
          <w:sz w:val="24"/>
          <w:szCs w:val="24"/>
          <w:highlight w:val="none"/>
        </w:rPr>
        <w:t>根据供应商书面《调价通知函》，</w:t>
      </w:r>
      <w:r>
        <w:rPr>
          <w:rFonts w:hint="eastAsia" w:ascii="楷体" w:hAnsi="楷体" w:eastAsia="楷体" w:cs="楷体"/>
          <w:sz w:val="24"/>
          <w:szCs w:val="24"/>
          <w:highlight w:val="none"/>
        </w:rPr>
        <w:t>双方可协商对此单价进行调整。</w:t>
      </w:r>
    </w:p>
    <w:p w14:paraId="2B083DB0">
      <w:pPr>
        <w:spacing w:line="400" w:lineRule="exact"/>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3.商务、技术要求</w:t>
      </w:r>
    </w:p>
    <w:p w14:paraId="1E99349C">
      <w:pPr>
        <w:spacing w:line="400" w:lineRule="exact"/>
        <w:rPr>
          <w:rFonts w:hint="eastAsia" w:ascii="楷体" w:hAnsi="楷体" w:eastAsia="楷体" w:cs="楷体"/>
          <w:b/>
          <w:sz w:val="24"/>
          <w:szCs w:val="24"/>
          <w:highlight w:val="none"/>
        </w:rPr>
      </w:pPr>
      <w:r>
        <w:rPr>
          <w:rFonts w:hint="eastAsia" w:ascii="楷体" w:hAnsi="楷体" w:eastAsia="楷体" w:cs="楷体"/>
          <w:b/>
          <w:sz w:val="24"/>
          <w:szCs w:val="24"/>
          <w:highlight w:val="none"/>
        </w:rPr>
        <w:t>3.</w:t>
      </w:r>
      <w:bookmarkStart w:id="6" w:name="_Toc343692942"/>
      <w:bookmarkStart w:id="7" w:name="_Toc343700740"/>
      <w:r>
        <w:rPr>
          <w:rFonts w:hint="eastAsia" w:ascii="楷体" w:hAnsi="楷体" w:eastAsia="楷体" w:cs="楷体"/>
          <w:b/>
          <w:sz w:val="24"/>
          <w:szCs w:val="24"/>
          <w:highlight w:val="none"/>
        </w:rPr>
        <w:t>1.供应商参与报价条件</w:t>
      </w:r>
    </w:p>
    <w:p w14:paraId="2753B82A">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1）报价单位具备法律主体资格。</w:t>
      </w:r>
    </w:p>
    <w:p w14:paraId="20738958">
      <w:pPr>
        <w:widowControl w:val="0"/>
        <w:spacing w:line="400" w:lineRule="exact"/>
        <w:jc w:val="left"/>
        <w:rPr>
          <w:rFonts w:hint="eastAsia" w:ascii="楷体" w:hAnsi="楷体" w:eastAsia="楷体" w:cs="楷体"/>
          <w:bCs/>
          <w:sz w:val="24"/>
          <w:szCs w:val="24"/>
          <w:highlight w:val="none"/>
        </w:rPr>
      </w:pPr>
      <w:r>
        <w:rPr>
          <w:rFonts w:hint="eastAsia" w:ascii="楷体" w:hAnsi="楷体" w:eastAsia="楷体" w:cs="楷体"/>
          <w:bCs/>
          <w:sz w:val="24"/>
          <w:szCs w:val="24"/>
          <w:highlight w:val="none"/>
        </w:rPr>
        <w:t>2）报价单位须为生产厂家。</w:t>
      </w:r>
    </w:p>
    <w:p w14:paraId="3C39A63E">
      <w:pPr>
        <w:widowControl w:val="0"/>
        <w:spacing w:line="400" w:lineRule="exact"/>
        <w:jc w:val="left"/>
        <w:rPr>
          <w:rFonts w:hint="eastAsia" w:ascii="楷体" w:hAnsi="楷体" w:eastAsia="楷体" w:cs="楷体"/>
          <w:bCs/>
          <w:sz w:val="24"/>
          <w:szCs w:val="24"/>
          <w:highlight w:val="none"/>
        </w:rPr>
      </w:pPr>
      <w:r>
        <w:rPr>
          <w:rFonts w:hint="eastAsia" w:ascii="楷体" w:hAnsi="楷体" w:eastAsia="楷体" w:cs="楷体"/>
          <w:bCs/>
          <w:sz w:val="24"/>
          <w:szCs w:val="24"/>
          <w:highlight w:val="none"/>
        </w:rPr>
        <w:t>3.2货物质量标准要求</w:t>
      </w:r>
    </w:p>
    <w:p w14:paraId="0AAB701E">
      <w:pPr>
        <w:widowControl/>
        <w:adjustRightInd w:val="0"/>
        <w:snapToGrid w:val="0"/>
        <w:spacing w:line="300" w:lineRule="auto"/>
        <w:jc w:val="left"/>
        <w:rPr>
          <w:rFonts w:hint="eastAsia" w:ascii="楷体" w:hAnsi="楷体" w:eastAsia="楷体" w:cs="楷体"/>
          <w:bCs/>
          <w:sz w:val="24"/>
          <w:szCs w:val="24"/>
          <w:highlight w:val="none"/>
        </w:rPr>
      </w:pPr>
      <w:r>
        <w:rPr>
          <w:rFonts w:hint="eastAsia" w:ascii="楷体" w:hAnsi="楷体" w:eastAsia="楷体" w:cs="楷体"/>
          <w:bCs/>
          <w:sz w:val="24"/>
          <w:szCs w:val="24"/>
          <w:highlight w:val="none"/>
        </w:rPr>
        <w:t>1）供应材料均应符合国家标准、行业标准、地方标准及采购人提出的要求，按照《中华人民共和国产品质量法》及相关的产品质量标准规定执行及采购人公开询价报价要求、设计为准。具体技术标准：</w:t>
      </w:r>
      <w:r>
        <w:rPr>
          <w:rFonts w:hint="eastAsia" w:ascii="楷体" w:hAnsi="楷体" w:eastAsia="楷体" w:cs="楷体"/>
          <w:bCs/>
          <w:snapToGrid/>
          <w:color w:val="auto"/>
          <w:spacing w:val="0"/>
          <w:kern w:val="2"/>
          <w:sz w:val="24"/>
          <w:szCs w:val="24"/>
          <w:highlight w:val="none"/>
        </w:rPr>
        <w:t>按要求尺寸轧碎的坚固、强韧、耐久的石灰岩石料，符合工程设计规定的级配范围，质量应满足《城镇道路工程施工与质量验收规范》(CJJ 1-2008)要求，试验方法按《公路工程集料试验规程》(JTJ 058-2000)进行。</w:t>
      </w:r>
      <w:r>
        <w:rPr>
          <w:rFonts w:hint="eastAsia" w:ascii="楷体" w:hAnsi="楷体" w:eastAsia="楷体" w:cs="楷体"/>
          <w:bCs/>
          <w:sz w:val="24"/>
          <w:szCs w:val="24"/>
          <w:highlight w:val="none"/>
        </w:rPr>
        <w:t>合同履行过程中如有颁布最新标准，则按最新标准执行。</w:t>
      </w:r>
    </w:p>
    <w:p w14:paraId="6DF8EF56">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2）进场的物资必须符合国家相关标准。如发生质量问题，供应商包退、包换。确保进场材料质量合格率100%，并须在材料进场的同时提供材料的质量检验部门的产品材质证明书（采购人有权对所采购的材料进行进一步检测），且材质证明书内容要和现场进料单及标牌所标明内容相对应。</w:t>
      </w:r>
    </w:p>
    <w:p w14:paraId="0202982D">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3）材料质量应严格符合工程所需材料质量验收标准、设计、合同及有关工程施工及验收规范的要求。同时，供应商的材料质量必须满足采购人保证工程质量而对质量、服务等提出的各种进一步要求，并以之为依据出具详尽的服务承诺。供应的产品应以样品为样板，否则，采购人有权随时解除合同，由此造成采购人工期延误的损失及紧急订货增加的费用等均由供应商承担。</w:t>
      </w:r>
    </w:p>
    <w:p w14:paraId="3894B969">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4）供应商的产品应符合国家有关环保法律法规的规定以及采购人ISO14000环境体系要求，不能对施工环境造成污染；同时，该货物还应该符合采购人OHSMS18000职业安全健康管理体系标准的要求，不能对接触货物的有关人员及竣工后的使用人员的健康造成危害。</w:t>
      </w:r>
    </w:p>
    <w:p w14:paraId="3C99BA6D">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3.3运输服务要求：</w:t>
      </w:r>
    </w:p>
    <w:p w14:paraId="7091CACD">
      <w:pPr>
        <w:spacing w:line="400" w:lineRule="exact"/>
        <w:rPr>
          <w:rFonts w:hint="eastAsia" w:ascii="楷体" w:hAnsi="楷体" w:eastAsia="楷体" w:cs="楷体"/>
          <w:b w:val="0"/>
          <w:bCs/>
          <w:sz w:val="24"/>
          <w:szCs w:val="24"/>
          <w:highlight w:val="none"/>
        </w:rPr>
      </w:pPr>
      <w:r>
        <w:rPr>
          <w:rFonts w:hint="eastAsia" w:ascii="楷体" w:hAnsi="楷体" w:eastAsia="楷体" w:cs="楷体"/>
          <w:b w:val="0"/>
          <w:bCs/>
          <w:sz w:val="24"/>
          <w:szCs w:val="24"/>
          <w:highlight w:val="none"/>
        </w:rPr>
        <w:t>1）报价单位将货物交给收货人时，同时应协助收货人亲笔签收货物</w:t>
      </w:r>
      <w:r>
        <w:rPr>
          <w:rFonts w:hint="eastAsia" w:ascii="楷体" w:hAnsi="楷体" w:eastAsia="楷体" w:cs="楷体"/>
          <w:b w:val="0"/>
          <w:bCs/>
          <w:sz w:val="24"/>
          <w:szCs w:val="24"/>
          <w:highlight w:val="none"/>
          <w:lang w:eastAsia="zh-Hans"/>
        </w:rPr>
        <w:t>并取得收货单</w:t>
      </w:r>
      <w:r>
        <w:rPr>
          <w:rFonts w:hint="eastAsia" w:ascii="楷体" w:hAnsi="楷体" w:eastAsia="楷体" w:cs="楷体"/>
          <w:b w:val="0"/>
          <w:bCs/>
          <w:sz w:val="24"/>
          <w:szCs w:val="24"/>
          <w:highlight w:val="none"/>
        </w:rPr>
        <w:t>以作为完成运输义务的证明。如报价单位联系不上收货人时，应及时通知采购人，采购人有责任协助报价单位及时通知收货人提货。</w:t>
      </w:r>
    </w:p>
    <w:p w14:paraId="241E0732">
      <w:pPr>
        <w:spacing w:line="400" w:lineRule="exact"/>
        <w:rPr>
          <w:rFonts w:hint="eastAsia" w:ascii="楷体" w:hAnsi="楷体" w:eastAsia="楷体" w:cs="楷体"/>
          <w:b w:val="0"/>
          <w:bCs/>
          <w:sz w:val="24"/>
          <w:szCs w:val="24"/>
          <w:highlight w:val="none"/>
          <w:lang w:eastAsia="zh-Hans"/>
        </w:rPr>
      </w:pPr>
      <w:r>
        <w:rPr>
          <w:rFonts w:hint="eastAsia" w:ascii="楷体" w:hAnsi="楷体" w:eastAsia="楷体" w:cs="楷体"/>
          <w:b w:val="0"/>
          <w:bCs/>
          <w:sz w:val="24"/>
          <w:szCs w:val="24"/>
          <w:highlight w:val="none"/>
        </w:rPr>
        <w:t>2）采购人交付报价单位承运的货物，报价单位有责任保证其安全完整，并确保包装及内容物均完好按期运达指定地。运输过程中如发生货物灭失、短少、损坏问题，</w:t>
      </w:r>
      <w:r>
        <w:rPr>
          <w:rFonts w:hint="eastAsia" w:ascii="楷体" w:hAnsi="楷体" w:eastAsia="楷体" w:cs="楷体"/>
          <w:b w:val="0"/>
          <w:bCs/>
          <w:sz w:val="24"/>
          <w:szCs w:val="24"/>
          <w:highlight w:val="none"/>
          <w:lang w:eastAsia="zh-Hans"/>
        </w:rPr>
        <w:t>双方应确认数量并由</w:t>
      </w:r>
      <w:r>
        <w:rPr>
          <w:rFonts w:hint="eastAsia" w:ascii="楷体" w:hAnsi="楷体" w:eastAsia="楷体" w:cs="楷体"/>
          <w:b w:val="0"/>
          <w:bCs/>
          <w:sz w:val="24"/>
          <w:szCs w:val="24"/>
          <w:highlight w:val="none"/>
        </w:rPr>
        <w:t>报价单位</w:t>
      </w:r>
      <w:r>
        <w:rPr>
          <w:rFonts w:hint="eastAsia" w:ascii="楷体" w:hAnsi="楷体" w:eastAsia="楷体" w:cs="楷体"/>
          <w:b w:val="0"/>
          <w:bCs/>
          <w:sz w:val="24"/>
          <w:szCs w:val="24"/>
          <w:highlight w:val="none"/>
          <w:lang w:eastAsia="zh-Hans"/>
        </w:rPr>
        <w:t>负责赔偿</w:t>
      </w:r>
      <w:r>
        <w:rPr>
          <w:rFonts w:hint="eastAsia" w:ascii="楷体" w:hAnsi="楷体" w:eastAsia="楷体" w:cs="楷体"/>
          <w:b w:val="0"/>
          <w:bCs/>
          <w:sz w:val="24"/>
          <w:szCs w:val="24"/>
          <w:highlight w:val="none"/>
        </w:rPr>
        <w:t>采购人</w:t>
      </w:r>
      <w:r>
        <w:rPr>
          <w:rFonts w:hint="eastAsia" w:ascii="楷体" w:hAnsi="楷体" w:eastAsia="楷体" w:cs="楷体"/>
          <w:b w:val="0"/>
          <w:bCs/>
          <w:sz w:val="24"/>
          <w:szCs w:val="24"/>
          <w:highlight w:val="none"/>
          <w:lang w:eastAsia="zh-Hans"/>
        </w:rPr>
        <w:t>所有损失。</w:t>
      </w:r>
    </w:p>
    <w:p w14:paraId="2F06D238">
      <w:pPr>
        <w:spacing w:line="400" w:lineRule="exact"/>
        <w:rPr>
          <w:rFonts w:hint="eastAsia" w:ascii="楷体" w:hAnsi="楷体" w:eastAsia="楷体" w:cs="楷体"/>
          <w:b w:val="0"/>
          <w:bCs/>
          <w:sz w:val="24"/>
          <w:szCs w:val="24"/>
          <w:highlight w:val="none"/>
          <w:lang w:eastAsia="zh-Hans"/>
        </w:rPr>
      </w:pPr>
      <w:r>
        <w:rPr>
          <w:rFonts w:hint="eastAsia" w:ascii="楷体" w:hAnsi="楷体" w:eastAsia="楷体" w:cs="楷体"/>
          <w:b w:val="0"/>
          <w:bCs/>
          <w:sz w:val="24"/>
          <w:szCs w:val="24"/>
          <w:highlight w:val="none"/>
        </w:rPr>
        <w:t>3）报价单位</w:t>
      </w:r>
      <w:r>
        <w:rPr>
          <w:rFonts w:hint="eastAsia" w:ascii="楷体" w:hAnsi="楷体" w:eastAsia="楷体" w:cs="楷体"/>
          <w:b w:val="0"/>
          <w:bCs/>
          <w:sz w:val="24"/>
          <w:szCs w:val="24"/>
          <w:highlight w:val="none"/>
          <w:lang w:eastAsia="zh-Hans"/>
        </w:rPr>
        <w:t>承诺</w:t>
      </w:r>
      <w:r>
        <w:rPr>
          <w:rFonts w:hint="eastAsia" w:ascii="楷体" w:hAnsi="楷体" w:eastAsia="楷体" w:cs="楷体"/>
          <w:b w:val="0"/>
          <w:bCs/>
          <w:sz w:val="24"/>
          <w:szCs w:val="24"/>
          <w:highlight w:val="none"/>
        </w:rPr>
        <w:t>报价单位</w:t>
      </w:r>
      <w:r>
        <w:rPr>
          <w:rFonts w:hint="eastAsia" w:ascii="楷体" w:hAnsi="楷体" w:eastAsia="楷体" w:cs="楷体"/>
          <w:b w:val="0"/>
          <w:bCs/>
          <w:sz w:val="24"/>
          <w:szCs w:val="24"/>
          <w:highlight w:val="none"/>
          <w:lang w:eastAsia="zh-Hans"/>
        </w:rPr>
        <w:t>具有相关货物运输资质，如因</w:t>
      </w:r>
      <w:r>
        <w:rPr>
          <w:rFonts w:hint="eastAsia" w:ascii="楷体" w:hAnsi="楷体" w:eastAsia="楷体" w:cs="楷体"/>
          <w:b w:val="0"/>
          <w:bCs/>
          <w:sz w:val="24"/>
          <w:szCs w:val="24"/>
          <w:highlight w:val="none"/>
        </w:rPr>
        <w:t>报价单位</w:t>
      </w:r>
      <w:r>
        <w:rPr>
          <w:rFonts w:hint="eastAsia" w:ascii="楷体" w:hAnsi="楷体" w:eastAsia="楷体" w:cs="楷体"/>
          <w:b w:val="0"/>
          <w:bCs/>
          <w:sz w:val="24"/>
          <w:szCs w:val="24"/>
          <w:highlight w:val="none"/>
          <w:lang w:eastAsia="zh-Hans"/>
        </w:rPr>
        <w:t>无资质运输导致货物</w:t>
      </w:r>
      <w:r>
        <w:rPr>
          <w:rFonts w:hint="eastAsia" w:ascii="楷体" w:hAnsi="楷体" w:eastAsia="楷体" w:cs="楷体"/>
          <w:b w:val="0"/>
          <w:bCs/>
          <w:sz w:val="24"/>
          <w:szCs w:val="24"/>
          <w:highlight w:val="none"/>
        </w:rPr>
        <w:t>损失、</w:t>
      </w:r>
      <w:r>
        <w:rPr>
          <w:rFonts w:hint="eastAsia" w:ascii="楷体" w:hAnsi="楷体" w:eastAsia="楷体" w:cs="楷体"/>
          <w:b w:val="0"/>
          <w:bCs/>
          <w:sz w:val="24"/>
          <w:szCs w:val="24"/>
          <w:highlight w:val="none"/>
          <w:lang w:eastAsia="zh-Hans"/>
        </w:rPr>
        <w:t>无法按时在运输期限内运输至指定地点</w:t>
      </w:r>
      <w:r>
        <w:rPr>
          <w:rFonts w:hint="eastAsia" w:ascii="楷体" w:hAnsi="楷体" w:eastAsia="楷体" w:cs="楷体"/>
          <w:b w:val="0"/>
          <w:bCs/>
          <w:sz w:val="24"/>
          <w:szCs w:val="24"/>
          <w:highlight w:val="none"/>
        </w:rPr>
        <w:t>等情况</w:t>
      </w:r>
      <w:r>
        <w:rPr>
          <w:rFonts w:hint="eastAsia" w:ascii="楷体" w:hAnsi="楷体" w:eastAsia="楷体" w:cs="楷体"/>
          <w:b w:val="0"/>
          <w:bCs/>
          <w:sz w:val="24"/>
          <w:szCs w:val="24"/>
          <w:highlight w:val="none"/>
          <w:lang w:eastAsia="zh-Hans"/>
        </w:rPr>
        <w:t>，</w:t>
      </w:r>
      <w:r>
        <w:rPr>
          <w:rFonts w:hint="eastAsia" w:ascii="楷体" w:hAnsi="楷体" w:eastAsia="楷体" w:cs="楷体"/>
          <w:b w:val="0"/>
          <w:bCs/>
          <w:sz w:val="24"/>
          <w:szCs w:val="24"/>
          <w:highlight w:val="none"/>
        </w:rPr>
        <w:t>报价单位</w:t>
      </w:r>
      <w:r>
        <w:rPr>
          <w:rFonts w:hint="eastAsia" w:ascii="楷体" w:hAnsi="楷体" w:eastAsia="楷体" w:cs="楷体"/>
          <w:b w:val="0"/>
          <w:bCs/>
          <w:sz w:val="24"/>
          <w:szCs w:val="24"/>
          <w:highlight w:val="none"/>
          <w:lang w:eastAsia="zh-Hans"/>
        </w:rPr>
        <w:t>应当赔偿</w:t>
      </w:r>
      <w:r>
        <w:rPr>
          <w:rFonts w:hint="eastAsia" w:ascii="楷体" w:hAnsi="楷体" w:eastAsia="楷体" w:cs="楷体"/>
          <w:b w:val="0"/>
          <w:bCs/>
          <w:sz w:val="24"/>
          <w:szCs w:val="24"/>
          <w:highlight w:val="none"/>
        </w:rPr>
        <w:t>采购人</w:t>
      </w:r>
      <w:r>
        <w:rPr>
          <w:rFonts w:hint="eastAsia" w:ascii="楷体" w:hAnsi="楷体" w:eastAsia="楷体" w:cs="楷体"/>
          <w:b w:val="0"/>
          <w:bCs/>
          <w:sz w:val="24"/>
          <w:szCs w:val="24"/>
          <w:highlight w:val="none"/>
          <w:lang w:eastAsia="zh-Hans"/>
        </w:rPr>
        <w:t>所有</w:t>
      </w:r>
      <w:r>
        <w:rPr>
          <w:rFonts w:hint="eastAsia" w:ascii="楷体" w:hAnsi="楷体" w:eastAsia="楷体" w:cs="楷体"/>
          <w:b w:val="0"/>
          <w:bCs/>
          <w:sz w:val="24"/>
          <w:szCs w:val="24"/>
          <w:highlight w:val="none"/>
        </w:rPr>
        <w:t>因此造成的</w:t>
      </w:r>
      <w:r>
        <w:rPr>
          <w:rFonts w:hint="eastAsia" w:ascii="楷体" w:hAnsi="楷体" w:eastAsia="楷体" w:cs="楷体"/>
          <w:b w:val="0"/>
          <w:bCs/>
          <w:sz w:val="24"/>
          <w:szCs w:val="24"/>
          <w:highlight w:val="none"/>
          <w:lang w:eastAsia="zh-Hans"/>
        </w:rPr>
        <w:t>损失。</w:t>
      </w:r>
    </w:p>
    <w:p w14:paraId="33BB8C01">
      <w:pPr>
        <w:spacing w:line="400" w:lineRule="exact"/>
        <w:rPr>
          <w:rFonts w:hint="eastAsia" w:ascii="楷体" w:hAnsi="楷体" w:eastAsia="楷体" w:cs="楷体"/>
          <w:b w:val="0"/>
          <w:bCs/>
          <w:sz w:val="24"/>
          <w:szCs w:val="24"/>
          <w:highlight w:val="none"/>
        </w:rPr>
      </w:pPr>
      <w:r>
        <w:rPr>
          <w:rFonts w:hint="eastAsia" w:ascii="楷体" w:hAnsi="楷体" w:eastAsia="楷体" w:cs="楷体"/>
          <w:b w:val="0"/>
          <w:bCs/>
          <w:sz w:val="24"/>
          <w:szCs w:val="24"/>
          <w:highlight w:val="none"/>
        </w:rPr>
        <w:t>4）报价单位承诺在货物运输过程中严格遵守国家和地方的交通法规和相关法律法规以及规章制度，并对货物运输过程中可能发生的风险承担全部责任。</w:t>
      </w:r>
    </w:p>
    <w:p w14:paraId="3CF6DE27">
      <w:pPr>
        <w:widowControl/>
        <w:spacing w:line="400" w:lineRule="exact"/>
        <w:rPr>
          <w:rFonts w:hint="eastAsia" w:ascii="楷体" w:hAnsi="楷体" w:eastAsia="楷体" w:cs="楷体"/>
          <w:bCs/>
          <w:sz w:val="24"/>
          <w:szCs w:val="24"/>
          <w:highlight w:val="none"/>
        </w:rPr>
      </w:pPr>
      <w:r>
        <w:rPr>
          <w:rFonts w:hint="eastAsia" w:ascii="楷体" w:hAnsi="楷体" w:eastAsia="楷体" w:cs="楷体"/>
          <w:b w:val="0"/>
          <w:bCs/>
          <w:sz w:val="24"/>
          <w:szCs w:val="24"/>
          <w:highlight w:val="none"/>
        </w:rPr>
        <w:t>5）报价单位提供运输服务过程中，因报价单位原因造成的相关人员伤亡及财产损失，全部由报价单位承担。</w:t>
      </w:r>
    </w:p>
    <w:p w14:paraId="65B54533">
      <w:pPr>
        <w:widowControl/>
        <w:spacing w:line="5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4.验收方法：验收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762C96DB">
      <w:pPr>
        <w:widowControl/>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5.送货方式：乙方收到订单后72小时内将货物送达该项目指定地点。</w:t>
      </w:r>
    </w:p>
    <w:p w14:paraId="27A44DE4">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6.对未成交的单位不做经济方面或其他方面的赔偿，也不做解释，谨对合作表示衷心的感谢。</w:t>
      </w:r>
    </w:p>
    <w:p w14:paraId="654CE0E5">
      <w:pPr>
        <w:pStyle w:val="4"/>
        <w:spacing w:before="156" w:beforeLines="50" w:after="0" w:line="400" w:lineRule="exact"/>
        <w:rPr>
          <w:rFonts w:hint="eastAsia" w:ascii="楷体" w:hAnsi="楷体" w:eastAsia="楷体" w:cs="楷体"/>
          <w:sz w:val="24"/>
          <w:szCs w:val="24"/>
          <w:highlight w:val="none"/>
        </w:rPr>
      </w:pPr>
      <w:r>
        <w:rPr>
          <w:rFonts w:hint="eastAsia" w:ascii="楷体" w:hAnsi="楷体" w:eastAsia="楷体" w:cs="楷体"/>
          <w:sz w:val="24"/>
          <w:szCs w:val="24"/>
          <w:highlight w:val="none"/>
        </w:rPr>
        <w:t>三、报价书的编制和递交</w:t>
      </w:r>
      <w:bookmarkEnd w:id="6"/>
      <w:bookmarkEnd w:id="7"/>
    </w:p>
    <w:p w14:paraId="515C8C74">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（一）材料构成：按照第四章报价书（格式）要求提供，内容包括：</w:t>
      </w:r>
    </w:p>
    <w:p w14:paraId="6685211E">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报价表</w:t>
      </w:r>
    </w:p>
    <w:p w14:paraId="1C547A15">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附件一：报价承诺函</w:t>
      </w:r>
    </w:p>
    <w:p w14:paraId="6FDC269B">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附件二：报价单位营业执照            </w:t>
      </w:r>
    </w:p>
    <w:p w14:paraId="6BC2043D">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附件三：无重大违法记录证明材料</w:t>
      </w:r>
    </w:p>
    <w:p w14:paraId="0D2982C9">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（二）填写要求:按照报价书格式要求签字、盖章。报价书中的企业的名称应准确无误。</w:t>
      </w:r>
    </w:p>
    <w:p w14:paraId="0C8B1EC8">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（三）材料递交时间和地点按海南洋浦陆海能源发展有限公司要求执行，因不可抗力原因，可酌情延长材料递交截止时间。</w:t>
      </w:r>
    </w:p>
    <w:p w14:paraId="50289641">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（四）材料其它要求</w:t>
      </w:r>
    </w:p>
    <w:p w14:paraId="40190CE9">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1.提供的资料必须真实、完整、合法。</w:t>
      </w:r>
    </w:p>
    <w:p w14:paraId="1C11238F">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2.提供虚假资质证明文件的，一经发现立即取消其资格，并交由相关部门依法处理。</w:t>
      </w:r>
    </w:p>
    <w:p w14:paraId="588DE16A">
      <w:pPr>
        <w:pStyle w:val="4"/>
        <w:spacing w:before="156" w:beforeLines="50" w:after="0" w:line="400" w:lineRule="exact"/>
        <w:rPr>
          <w:rFonts w:hint="eastAsia" w:ascii="楷体" w:hAnsi="楷体" w:eastAsia="楷体" w:cs="楷体"/>
          <w:sz w:val="24"/>
          <w:szCs w:val="24"/>
          <w:highlight w:val="none"/>
        </w:rPr>
      </w:pPr>
      <w:bookmarkStart w:id="8" w:name="_Toc343700741"/>
      <w:bookmarkStart w:id="9" w:name="_Toc343692943"/>
      <w:r>
        <w:rPr>
          <w:rFonts w:hint="eastAsia" w:ascii="楷体" w:hAnsi="楷体" w:eastAsia="楷体" w:cs="楷体"/>
          <w:sz w:val="24"/>
          <w:szCs w:val="24"/>
          <w:highlight w:val="none"/>
        </w:rPr>
        <w:t>四、报价</w:t>
      </w:r>
      <w:bookmarkEnd w:id="8"/>
      <w:bookmarkEnd w:id="9"/>
    </w:p>
    <w:p w14:paraId="560D8FC0">
      <w:pPr>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（一）报价使用货币为人民币，报价保留到小数点后两位。</w:t>
      </w:r>
    </w:p>
    <w:p w14:paraId="61509655">
      <w:pPr>
        <w:tabs>
          <w:tab w:val="left" w:pos="709"/>
        </w:tabs>
        <w:spacing w:line="400" w:lineRule="exact"/>
        <w:rPr>
          <w:rFonts w:hint="eastAsia" w:ascii="楷体" w:hAnsi="楷体" w:eastAsia="楷体" w:cs="楷体"/>
          <w:bCs/>
          <w:sz w:val="24"/>
          <w:szCs w:val="24"/>
          <w:highlight w:val="none"/>
        </w:rPr>
      </w:pPr>
      <w:r>
        <w:rPr>
          <w:rFonts w:hint="eastAsia" w:ascii="楷体" w:hAnsi="楷体" w:eastAsia="楷体" w:cs="楷体"/>
          <w:bCs/>
          <w:sz w:val="24"/>
          <w:szCs w:val="24"/>
          <w:highlight w:val="none"/>
        </w:rPr>
        <w:t>（二）报价是指供货商供应的落地价。</w:t>
      </w:r>
    </w:p>
    <w:p w14:paraId="7945BAD5">
      <w:pPr>
        <w:tabs>
          <w:tab w:val="left" w:pos="709"/>
        </w:tabs>
        <w:spacing w:line="400" w:lineRule="exact"/>
        <w:rPr>
          <w:highlight w:val="none"/>
        </w:rPr>
        <w:sectPr>
          <w:pgSz w:w="11906" w:h="16838"/>
          <w:pgMar w:top="1440" w:right="1800" w:bottom="1247" w:left="1800" w:header="851" w:footer="992" w:gutter="0"/>
          <w:pgNumType w:start="1"/>
          <w:cols w:space="0" w:num="1"/>
          <w:docGrid w:type="lines" w:linePitch="312" w:charSpace="0"/>
        </w:sectPr>
      </w:pPr>
      <w:r>
        <w:rPr>
          <w:rFonts w:hint="eastAsia" w:ascii="楷体" w:hAnsi="楷体" w:eastAsia="楷体" w:cs="楷体"/>
          <w:bCs/>
          <w:sz w:val="24"/>
          <w:szCs w:val="24"/>
          <w:highlight w:val="none"/>
        </w:rPr>
        <w:t>（三）报价截至时间：以《公开询价报价人须知》公布</w:t>
      </w:r>
      <w:r>
        <w:rPr>
          <w:rFonts w:hint="eastAsia" w:ascii="楷体" w:hAnsi="楷体" w:eastAsia="楷体" w:cs="楷体"/>
          <w:sz w:val="24"/>
          <w:szCs w:val="24"/>
          <w:highlight w:val="none"/>
        </w:rPr>
        <w:t>的时间为准。</w:t>
      </w:r>
      <w:r>
        <w:rPr>
          <w:rFonts w:hint="eastAsia" w:ascii="楷体" w:hAnsi="楷体" w:eastAsia="楷体" w:cs="楷体"/>
          <w:sz w:val="24"/>
          <w:szCs w:val="24"/>
          <w:highlight w:val="none"/>
        </w:rPr>
        <w:br w:type="textWrapping"/>
      </w:r>
    </w:p>
    <w:p w14:paraId="15BACEF8">
      <w:pPr>
        <w:jc w:val="center"/>
        <w:rPr>
          <w:rFonts w:hint="eastAsia" w:ascii="楷体" w:hAnsi="楷体" w:eastAsia="楷体" w:cs="楷体"/>
          <w:b/>
          <w:bCs/>
          <w:kern w:val="44"/>
          <w:sz w:val="24"/>
          <w:szCs w:val="24"/>
          <w:highlight w:val="none"/>
        </w:rPr>
      </w:pPr>
      <w:r>
        <w:rPr>
          <w:rFonts w:hint="eastAsia" w:ascii="楷体" w:hAnsi="楷体" w:eastAsia="楷体" w:cs="楷体"/>
          <w:b/>
          <w:bCs/>
          <w:kern w:val="44"/>
          <w:sz w:val="24"/>
          <w:szCs w:val="24"/>
          <w:highlight w:val="none"/>
        </w:rPr>
        <w:t>第二章 合同（格式）</w:t>
      </w:r>
    </w:p>
    <w:p w14:paraId="3AA2BAC3">
      <w:pPr>
        <w:jc w:val="center"/>
        <w:rPr>
          <w:rFonts w:hint="eastAsia" w:ascii="宋体" w:hAnsi="宋体"/>
          <w:b/>
          <w:bCs/>
          <w:sz w:val="44"/>
          <w:szCs w:val="44"/>
          <w:highlight w:val="none"/>
        </w:rPr>
      </w:pPr>
    </w:p>
    <w:p w14:paraId="0FE3AD4D">
      <w:pPr>
        <w:jc w:val="center"/>
        <w:rPr>
          <w:rFonts w:hint="eastAsia" w:ascii="宋体" w:hAnsi="宋体"/>
          <w:b/>
          <w:bCs/>
          <w:sz w:val="44"/>
          <w:szCs w:val="44"/>
          <w:highlight w:val="none"/>
        </w:rPr>
      </w:pPr>
    </w:p>
    <w:p w14:paraId="2C7C0A03">
      <w:pPr>
        <w:rPr>
          <w:rFonts w:hint="eastAsia" w:ascii="楷体" w:hAnsi="楷体" w:eastAsia="楷体" w:cs="楷体"/>
          <w:sz w:val="24"/>
          <w:szCs w:val="24"/>
          <w:highlight w:val="none"/>
        </w:rPr>
      </w:pPr>
    </w:p>
    <w:p w14:paraId="2D98E0EB">
      <w:pPr>
        <w:jc w:val="center"/>
        <w:rPr>
          <w:rFonts w:hint="eastAsia" w:ascii="宋体" w:hAnsi="宋体"/>
          <w:b/>
          <w:bCs/>
          <w:sz w:val="44"/>
          <w:szCs w:val="44"/>
          <w:highlight w:val="none"/>
        </w:rPr>
      </w:pPr>
      <w:r>
        <w:rPr>
          <w:rFonts w:hint="eastAsia" w:ascii="宋体" w:hAnsi="宋体"/>
          <w:b/>
          <w:bCs/>
          <w:sz w:val="44"/>
          <w:szCs w:val="44"/>
          <w:highlight w:val="none"/>
        </w:rPr>
        <w:t>海南洋浦陆海</w:t>
      </w:r>
      <w:r>
        <w:rPr>
          <w:rFonts w:hint="eastAsia" w:ascii="宋体" w:hAnsi="宋体"/>
          <w:b/>
          <w:bCs/>
          <w:sz w:val="44"/>
          <w:szCs w:val="44"/>
          <w:highlight w:val="none"/>
          <w:lang w:eastAsia="zh-CN"/>
        </w:rPr>
        <w:t>能源发展</w:t>
      </w:r>
      <w:r>
        <w:rPr>
          <w:rFonts w:hint="eastAsia" w:ascii="宋体" w:hAnsi="宋体"/>
          <w:b/>
          <w:bCs/>
          <w:sz w:val="44"/>
          <w:szCs w:val="44"/>
          <w:highlight w:val="none"/>
        </w:rPr>
        <w:t>有限公司</w:t>
      </w:r>
    </w:p>
    <w:p w14:paraId="5CF96A51">
      <w:pPr>
        <w:jc w:val="center"/>
        <w:rPr>
          <w:rFonts w:hint="eastAsia" w:ascii="仿宋" w:hAnsi="仿宋" w:eastAsia="仿宋"/>
          <w:b/>
          <w:bCs/>
          <w:sz w:val="44"/>
          <w:szCs w:val="44"/>
          <w:highlight w:val="none"/>
        </w:rPr>
      </w:pPr>
      <w:r>
        <w:rPr>
          <w:rFonts w:hint="eastAsia" w:ascii="宋体" w:hAnsi="宋体" w:eastAsia="宋体" w:cs="Times New Roman"/>
          <w:b/>
          <w:bCs/>
          <w:sz w:val="44"/>
          <w:szCs w:val="44"/>
          <w:highlight w:val="none"/>
        </w:rPr>
        <w:t>石灰石碎石、机制砂</w:t>
      </w:r>
      <w:r>
        <w:rPr>
          <w:rFonts w:hint="eastAsia" w:ascii="宋体" w:hAnsi="宋体"/>
          <w:b/>
          <w:bCs/>
          <w:sz w:val="44"/>
          <w:szCs w:val="44"/>
          <w:highlight w:val="none"/>
        </w:rPr>
        <w:t>采购及运输合同</w:t>
      </w:r>
    </w:p>
    <w:p w14:paraId="6770822F">
      <w:pPr>
        <w:jc w:val="cente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14:paraId="623F4054">
      <w:pPr>
        <w:ind w:firstLine="883" w:firstLineChars="200"/>
        <w:rPr>
          <w:rFonts w:hint="eastAsia" w:ascii="仿宋" w:hAnsi="仿宋" w:eastAsia="仿宋"/>
          <w:b/>
          <w:bCs/>
          <w:sz w:val="44"/>
          <w:szCs w:val="44"/>
          <w:highlight w:val="none"/>
        </w:rPr>
      </w:pPr>
    </w:p>
    <w:p w14:paraId="2F93CF00">
      <w:pPr>
        <w:ind w:firstLine="883" w:firstLineChars="200"/>
        <w:rPr>
          <w:rFonts w:hint="eastAsia" w:ascii="仿宋" w:hAnsi="仿宋" w:eastAsia="仿宋"/>
          <w:b/>
          <w:bCs/>
          <w:sz w:val="44"/>
          <w:szCs w:val="44"/>
          <w:highlight w:val="none"/>
        </w:rPr>
      </w:pPr>
    </w:p>
    <w:p w14:paraId="54790FD6">
      <w:pPr>
        <w:ind w:firstLine="883" w:firstLineChars="200"/>
        <w:rPr>
          <w:rFonts w:hint="eastAsia" w:ascii="仿宋" w:hAnsi="仿宋" w:eastAsia="仿宋"/>
          <w:b/>
          <w:bCs/>
          <w:sz w:val="44"/>
          <w:szCs w:val="44"/>
          <w:highlight w:val="none"/>
        </w:rPr>
      </w:pPr>
    </w:p>
    <w:p w14:paraId="4361609B">
      <w:pPr>
        <w:ind w:firstLine="883" w:firstLineChars="200"/>
        <w:rPr>
          <w:rFonts w:hint="eastAsia" w:ascii="仿宋" w:hAnsi="仿宋" w:eastAsia="仿宋"/>
          <w:b/>
          <w:bCs/>
          <w:sz w:val="44"/>
          <w:szCs w:val="44"/>
          <w:highlight w:val="none"/>
        </w:rPr>
      </w:pPr>
    </w:p>
    <w:p w14:paraId="09C3E850">
      <w:pPr>
        <w:ind w:firstLine="883" w:firstLineChars="200"/>
        <w:rPr>
          <w:rFonts w:hint="eastAsia" w:ascii="仿宋" w:hAnsi="仿宋" w:eastAsia="仿宋"/>
          <w:b/>
          <w:bCs/>
          <w:sz w:val="44"/>
          <w:szCs w:val="44"/>
          <w:highlight w:val="none"/>
        </w:rPr>
      </w:pPr>
    </w:p>
    <w:p w14:paraId="3BB3FBE9">
      <w:pPr>
        <w:ind w:firstLine="883" w:firstLineChars="200"/>
        <w:rPr>
          <w:rFonts w:hint="eastAsia" w:ascii="仿宋" w:hAnsi="仿宋" w:eastAsia="仿宋"/>
          <w:b/>
          <w:bCs/>
          <w:sz w:val="44"/>
          <w:szCs w:val="44"/>
          <w:highlight w:val="none"/>
        </w:rPr>
      </w:pPr>
    </w:p>
    <w:p w14:paraId="02D3F1FD">
      <w:pPr>
        <w:ind w:firstLine="883" w:firstLineChars="200"/>
        <w:rPr>
          <w:rFonts w:hint="eastAsia" w:ascii="仿宋" w:hAnsi="仿宋" w:eastAsia="仿宋"/>
          <w:b/>
          <w:bCs/>
          <w:sz w:val="44"/>
          <w:szCs w:val="44"/>
          <w:highlight w:val="none"/>
        </w:rPr>
      </w:pPr>
    </w:p>
    <w:p w14:paraId="17F7304F">
      <w:pPr>
        <w:ind w:firstLine="883" w:firstLineChars="200"/>
        <w:rPr>
          <w:rFonts w:hint="eastAsia" w:ascii="仿宋" w:hAnsi="仿宋" w:eastAsia="仿宋"/>
          <w:b/>
          <w:bCs/>
          <w:sz w:val="44"/>
          <w:szCs w:val="44"/>
          <w:highlight w:val="none"/>
        </w:rPr>
      </w:pPr>
    </w:p>
    <w:p w14:paraId="0104FF6D">
      <w:pPr>
        <w:ind w:firstLine="883" w:firstLineChars="200"/>
        <w:rPr>
          <w:rFonts w:hint="eastAsia" w:ascii="仿宋" w:hAnsi="仿宋" w:eastAsia="仿宋"/>
          <w:b/>
          <w:bCs/>
          <w:sz w:val="44"/>
          <w:szCs w:val="44"/>
          <w:highlight w:val="none"/>
        </w:rPr>
      </w:pPr>
    </w:p>
    <w:p w14:paraId="37C7AFF8">
      <w:pPr>
        <w:ind w:firstLine="883" w:firstLineChars="200"/>
        <w:rPr>
          <w:rFonts w:hint="eastAsia" w:ascii="仿宋" w:hAnsi="仿宋" w:eastAsia="仿宋"/>
          <w:b/>
          <w:bCs/>
          <w:sz w:val="44"/>
          <w:szCs w:val="44"/>
          <w:highlight w:val="none"/>
        </w:rPr>
      </w:pPr>
    </w:p>
    <w:p w14:paraId="02B69FDB">
      <w:pPr>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甲方（采购方）：</w:t>
      </w:r>
      <w:r>
        <w:rPr>
          <w:rFonts w:hint="eastAsia" w:ascii="仿宋" w:hAnsi="仿宋" w:eastAsia="仿宋"/>
          <w:sz w:val="30"/>
          <w:szCs w:val="30"/>
          <w:highlight w:val="none"/>
          <w:u w:val="single"/>
        </w:rPr>
        <w:t>海南洋浦陆海能源发展有限公司</w:t>
      </w:r>
    </w:p>
    <w:p w14:paraId="331F3C92">
      <w:pPr>
        <w:ind w:firstLine="600" w:firstLineChars="200"/>
        <w:rPr>
          <w:rFonts w:hint="eastAsia" w:ascii="仿宋" w:hAnsi="仿宋" w:eastAsia="仿宋"/>
          <w:sz w:val="30"/>
          <w:szCs w:val="30"/>
          <w:highlight w:val="none"/>
          <w:u w:val="single"/>
        </w:rPr>
      </w:pPr>
      <w:r>
        <w:rPr>
          <w:rFonts w:hint="eastAsia" w:ascii="仿宋" w:hAnsi="仿宋" w:eastAsia="仿宋"/>
          <w:sz w:val="30"/>
          <w:szCs w:val="30"/>
          <w:highlight w:val="none"/>
        </w:rPr>
        <w:t>乙方（供应商）：</w:t>
      </w:r>
    </w:p>
    <w:p w14:paraId="506386BB">
      <w:pPr>
        <w:ind w:left="2096" w:leftChars="284" w:hanging="1500" w:hangingChars="500"/>
        <w:rPr>
          <w:rFonts w:hint="eastAsia" w:ascii="仿宋" w:hAnsi="仿宋" w:eastAsia="仿宋"/>
          <w:sz w:val="30"/>
          <w:szCs w:val="30"/>
          <w:highlight w:val="none"/>
          <w:u w:val="single"/>
        </w:rPr>
      </w:pPr>
      <w:r>
        <w:rPr>
          <w:rFonts w:hint="eastAsia" w:ascii="仿宋" w:hAnsi="仿宋" w:eastAsia="仿宋"/>
          <w:sz w:val="30"/>
          <w:szCs w:val="30"/>
          <w:highlight w:val="none"/>
        </w:rPr>
        <w:t>签约地点：</w:t>
      </w:r>
      <w:r>
        <w:rPr>
          <w:rFonts w:hint="eastAsia" w:ascii="仿宋" w:hAnsi="仿宋" w:eastAsia="仿宋"/>
          <w:sz w:val="30"/>
          <w:szCs w:val="30"/>
          <w:highlight w:val="none"/>
          <w:u w:val="single"/>
        </w:rPr>
        <w:t>海南省儋州市洋浦经济开发区洋浦国际商业大厦</w:t>
      </w:r>
    </w:p>
    <w:p w14:paraId="15348EAD">
      <w:pPr>
        <w:ind w:firstLine="600" w:firstLineChars="200"/>
        <w:rPr>
          <w:rFonts w:hint="eastAsia" w:ascii="仿宋" w:hAnsi="仿宋" w:eastAsia="仿宋"/>
          <w:sz w:val="30"/>
          <w:szCs w:val="30"/>
          <w:highlight w:val="none"/>
          <w:u w:val="single"/>
        </w:rPr>
      </w:pPr>
      <w:r>
        <w:rPr>
          <w:rFonts w:hint="eastAsia" w:ascii="仿宋" w:hAnsi="仿宋" w:eastAsia="仿宋"/>
          <w:sz w:val="30"/>
          <w:szCs w:val="30"/>
          <w:highlight w:val="none"/>
        </w:rPr>
        <w:t>签约时间：</w:t>
      </w:r>
      <w:r>
        <w:rPr>
          <w:rFonts w:hint="eastAsia" w:ascii="仿宋" w:hAnsi="仿宋" w:eastAsia="仿宋"/>
          <w:sz w:val="30"/>
          <w:szCs w:val="30"/>
          <w:highlight w:val="none"/>
          <w:u w:val="single"/>
        </w:rPr>
        <w:t>2024年   月   日</w:t>
      </w:r>
    </w:p>
    <w:p w14:paraId="1C52350D">
      <w:pP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14:paraId="18CA0207">
      <w:pP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14:paraId="0A7986FA">
      <w:pPr>
        <w:widowControl/>
        <w:spacing w:line="400" w:lineRule="exact"/>
        <w:rPr>
          <w:rFonts w:hint="eastAsia" w:ascii="仿宋" w:hAnsi="仿宋" w:eastAsia="仿宋"/>
          <w:sz w:val="24"/>
          <w:szCs w:val="24"/>
          <w:highlight w:val="none"/>
        </w:rPr>
        <w:sectPr>
          <w:pgSz w:w="11906" w:h="16838"/>
          <w:pgMar w:top="1440" w:right="1800" w:bottom="1247" w:left="1800" w:header="851" w:footer="992" w:gutter="0"/>
          <w:cols w:space="0" w:num="1"/>
          <w:docGrid w:type="lines" w:linePitch="312" w:charSpace="0"/>
        </w:sectPr>
      </w:pPr>
    </w:p>
    <w:p w14:paraId="1090CFC7">
      <w:pPr>
        <w:widowControl/>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甲  方：</w:t>
      </w:r>
      <w:r>
        <w:rPr>
          <w:rFonts w:hint="eastAsia" w:ascii="仿宋" w:hAnsi="仿宋" w:eastAsia="仿宋"/>
          <w:sz w:val="24"/>
          <w:szCs w:val="24"/>
          <w:highlight w:val="none"/>
          <w:u w:val="single"/>
        </w:rPr>
        <w:t>海南洋浦陆海能源发展有限公司</w:t>
      </w:r>
      <w:r>
        <w:rPr>
          <w:rFonts w:hint="eastAsia" w:ascii="仿宋" w:hAnsi="仿宋" w:eastAsia="仿宋"/>
          <w:sz w:val="24"/>
          <w:szCs w:val="24"/>
          <w:highlight w:val="none"/>
        </w:rPr>
        <w:t xml:space="preserve">                                               </w:t>
      </w:r>
    </w:p>
    <w:p w14:paraId="1E7FC030">
      <w:pPr>
        <w:widowControl/>
        <w:spacing w:line="400" w:lineRule="exact"/>
        <w:rPr>
          <w:rFonts w:hint="eastAsia" w:ascii="仿宋" w:hAnsi="仿宋" w:eastAsia="仿宋"/>
          <w:sz w:val="24"/>
          <w:szCs w:val="24"/>
          <w:highlight w:val="none"/>
          <w:u w:val="single"/>
        </w:rPr>
      </w:pPr>
      <w:r>
        <w:rPr>
          <w:rFonts w:hint="eastAsia" w:ascii="仿宋" w:hAnsi="仿宋" w:eastAsia="仿宋"/>
          <w:sz w:val="24"/>
          <w:szCs w:val="24"/>
          <w:highlight w:val="none"/>
        </w:rPr>
        <w:t>住  所：</w:t>
      </w:r>
      <w:r>
        <w:rPr>
          <w:rFonts w:hint="eastAsia" w:ascii="仿宋" w:hAnsi="仿宋" w:eastAsia="仿宋"/>
          <w:sz w:val="24"/>
          <w:szCs w:val="24"/>
          <w:highlight w:val="none"/>
          <w:u w:val="single"/>
        </w:rPr>
        <w:t>海南省洋浦经济开发区洋浦大厦3楼305房</w:t>
      </w:r>
    </w:p>
    <w:p w14:paraId="25FCC270">
      <w:pPr>
        <w:pStyle w:val="2"/>
        <w:widowControl/>
        <w:spacing w:line="400" w:lineRule="exact"/>
        <w:rPr>
          <w:rFonts w:hint="eastAsia" w:eastAsia="仿宋"/>
          <w:b/>
          <w:sz w:val="24"/>
          <w:szCs w:val="24"/>
          <w:highlight w:val="none"/>
        </w:rPr>
      </w:pPr>
      <w:bookmarkStart w:id="10" w:name="_Toc145350959"/>
      <w:bookmarkStart w:id="11" w:name="_Toc145343938"/>
      <w:r>
        <w:rPr>
          <w:rFonts w:hint="eastAsia" w:eastAsia="仿宋"/>
          <w:b/>
          <w:sz w:val="24"/>
          <w:szCs w:val="24"/>
          <w:highlight w:val="none"/>
        </w:rPr>
        <w:t>法定代表人：</w:t>
      </w:r>
      <w:bookmarkEnd w:id="10"/>
      <w:bookmarkEnd w:id="11"/>
      <w:r>
        <w:rPr>
          <w:rFonts w:hint="eastAsia" w:eastAsia="仿宋" w:cs="仿宋"/>
          <w:sz w:val="24"/>
          <w:szCs w:val="24"/>
          <w:highlight w:val="none"/>
          <w:u w:val="single"/>
        </w:rPr>
        <w:t>刘兴建</w:t>
      </w:r>
    </w:p>
    <w:p w14:paraId="6CBC03B9">
      <w:pPr>
        <w:spacing w:line="520" w:lineRule="exact"/>
        <w:ind w:left="156" w:hanging="120"/>
        <w:rPr>
          <w:rFonts w:hint="eastAsia" w:ascii="仿宋" w:hAnsi="仿宋" w:eastAsia="仿宋"/>
          <w:sz w:val="24"/>
          <w:highlight w:val="none"/>
          <w:lang w:bidi="zh-CN"/>
        </w:rPr>
      </w:pPr>
      <w:r>
        <w:rPr>
          <w:rFonts w:hint="eastAsia" w:ascii="仿宋" w:hAnsi="仿宋" w:eastAsia="仿宋"/>
          <w:snapToGrid w:val="0"/>
          <w:sz w:val="24"/>
          <w:highlight w:val="none"/>
          <w:lang w:val="zh-CN" w:bidi="zh-CN"/>
        </w:rPr>
        <w:t>乙</w:t>
      </w:r>
      <w:r>
        <w:rPr>
          <w:rFonts w:hint="eastAsia" w:ascii="仿宋" w:hAnsi="仿宋" w:eastAsia="仿宋"/>
          <w:snapToGrid w:val="0"/>
          <w:sz w:val="24"/>
          <w:highlight w:val="none"/>
          <w:lang w:bidi="zh-CN"/>
        </w:rPr>
        <w:t xml:space="preserve">  </w:t>
      </w:r>
      <w:r>
        <w:rPr>
          <w:rFonts w:hint="eastAsia" w:ascii="仿宋" w:hAnsi="仿宋" w:eastAsia="仿宋"/>
          <w:snapToGrid w:val="0"/>
          <w:sz w:val="24"/>
          <w:highlight w:val="none"/>
          <w:lang w:val="zh-CN" w:bidi="zh-CN"/>
        </w:rPr>
        <w:t>方</w:t>
      </w:r>
      <w:r>
        <w:rPr>
          <w:rFonts w:hint="eastAsia" w:ascii="仿宋" w:hAnsi="仿宋" w:eastAsia="仿宋"/>
          <w:sz w:val="24"/>
          <w:highlight w:val="none"/>
          <w:lang w:bidi="zh-CN"/>
        </w:rPr>
        <w:t xml:space="preserve">：                                   </w:t>
      </w:r>
    </w:p>
    <w:p w14:paraId="03E7C387">
      <w:pPr>
        <w:spacing w:line="520" w:lineRule="exact"/>
        <w:ind w:left="0" w:leftChars="0" w:firstLine="0"/>
        <w:rPr>
          <w:rFonts w:hint="eastAsia" w:ascii="仿宋" w:hAnsi="仿宋" w:eastAsia="仿宋"/>
          <w:sz w:val="24"/>
          <w:highlight w:val="none"/>
          <w:lang w:bidi="zh-CN"/>
        </w:rPr>
      </w:pPr>
      <w:r>
        <w:rPr>
          <w:rFonts w:hint="eastAsia" w:ascii="仿宋" w:hAnsi="仿宋" w:eastAsia="仿宋"/>
          <w:sz w:val="24"/>
          <w:highlight w:val="none"/>
          <w:lang w:val="zh-CN" w:bidi="zh-CN"/>
        </w:rPr>
        <w:t>住</w:t>
      </w:r>
      <w:r>
        <w:rPr>
          <w:rFonts w:hint="eastAsia" w:ascii="仿宋" w:hAnsi="仿宋" w:eastAsia="仿宋"/>
          <w:sz w:val="24"/>
          <w:highlight w:val="none"/>
          <w:lang w:bidi="zh-CN"/>
        </w:rPr>
        <w:t xml:space="preserve">  </w:t>
      </w:r>
      <w:r>
        <w:rPr>
          <w:rFonts w:hint="eastAsia" w:ascii="仿宋" w:hAnsi="仿宋" w:eastAsia="仿宋"/>
          <w:sz w:val="24"/>
          <w:highlight w:val="none"/>
          <w:lang w:val="zh-CN" w:bidi="zh-CN"/>
        </w:rPr>
        <w:t>所</w:t>
      </w:r>
      <w:r>
        <w:rPr>
          <w:rFonts w:hint="eastAsia" w:ascii="仿宋" w:hAnsi="仿宋" w:eastAsia="仿宋"/>
          <w:sz w:val="24"/>
          <w:highlight w:val="none"/>
          <w:lang w:bidi="zh-CN"/>
        </w:rPr>
        <w:t>：</w:t>
      </w:r>
    </w:p>
    <w:p w14:paraId="6D44B422">
      <w:pPr>
        <w:spacing w:line="520" w:lineRule="exact"/>
        <w:ind w:left="156" w:hanging="120"/>
        <w:rPr>
          <w:rFonts w:hint="eastAsia" w:ascii="仿宋" w:hAnsi="仿宋" w:eastAsia="仿宋"/>
          <w:b/>
          <w:bCs/>
          <w:sz w:val="24"/>
          <w:highlight w:val="none"/>
        </w:rPr>
      </w:pPr>
      <w:r>
        <w:rPr>
          <w:rFonts w:hint="eastAsia" w:ascii="仿宋" w:hAnsi="仿宋" w:eastAsia="仿宋"/>
          <w:b/>
          <w:bCs/>
          <w:sz w:val="24"/>
          <w:highlight w:val="none"/>
        </w:rPr>
        <w:t xml:space="preserve">法定代表人：      </w:t>
      </w:r>
    </w:p>
    <w:p w14:paraId="7FBF6EFD">
      <w:pPr>
        <w:spacing w:line="48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根据《中华人民共和国民法典》及相关法律法规和海南洋浦陆海能源发展有限公司碎石采购项目的询价文件与报价文件，为明确甲方与乙方的权利义务，经双方协商一致，甲方就</w:t>
      </w:r>
      <w:r>
        <w:rPr>
          <w:rFonts w:hint="eastAsia" w:ascii="仿宋" w:hAnsi="仿宋" w:eastAsia="仿宋"/>
          <w:sz w:val="24"/>
          <w:szCs w:val="24"/>
          <w:highlight w:val="none"/>
          <w:u w:val="single"/>
        </w:rPr>
        <w:t>海南洋浦陆海能源发展有限公司</w:t>
      </w:r>
      <w:r>
        <w:rPr>
          <w:rFonts w:hint="eastAsia" w:ascii="仿宋" w:hAnsi="仿宋" w:eastAsia="仿宋"/>
          <w:sz w:val="24"/>
          <w:szCs w:val="24"/>
          <w:highlight w:val="none"/>
        </w:rPr>
        <w:t>向乙方采购</w:t>
      </w:r>
      <w:r>
        <w:rPr>
          <w:rFonts w:hint="eastAsia" w:ascii="仿宋" w:hAnsi="仿宋" w:eastAsia="仿宋" w:cs="Times New Roman"/>
          <w:b w:val="0"/>
          <w:sz w:val="24"/>
          <w:szCs w:val="24"/>
          <w:highlight w:val="none"/>
          <w:u w:val="single"/>
        </w:rPr>
        <w:t>石灰石碎石、机制砂</w:t>
      </w:r>
      <w:r>
        <w:rPr>
          <w:rFonts w:hint="eastAsia" w:ascii="仿宋" w:hAnsi="仿宋" w:eastAsia="仿宋" w:cs="Times New Roman"/>
          <w:b w:val="0"/>
          <w:sz w:val="24"/>
          <w:szCs w:val="24"/>
          <w:highlight w:val="none"/>
          <w:u w:val="single"/>
          <w:lang w:val="en-US" w:eastAsia="zh-CN"/>
        </w:rPr>
        <w:t>及运输</w:t>
      </w:r>
      <w:r>
        <w:rPr>
          <w:rFonts w:hint="eastAsia" w:ascii="仿宋" w:hAnsi="仿宋" w:eastAsia="仿宋"/>
          <w:sz w:val="24"/>
          <w:szCs w:val="24"/>
          <w:highlight w:val="none"/>
        </w:rPr>
        <w:t>事宜，签订本合同，双方共同遵守。</w:t>
      </w:r>
    </w:p>
    <w:p w14:paraId="6E11DCD0">
      <w:pPr>
        <w:numPr>
          <w:ilvl w:val="255"/>
          <w:numId w:val="0"/>
        </w:numPr>
        <w:spacing w:line="480" w:lineRule="exact"/>
        <w:ind w:left="0" w:firstLine="482" w:firstLineChars="200"/>
        <w:rPr>
          <w:rFonts w:hint="eastAsia" w:ascii="仿宋" w:hAnsi="仿宋" w:eastAsia="仿宋"/>
          <w:sz w:val="24"/>
          <w:szCs w:val="24"/>
          <w:highlight w:val="none"/>
        </w:rPr>
      </w:pPr>
      <w:r>
        <w:rPr>
          <w:rFonts w:hint="eastAsia" w:ascii="仿宋" w:hAnsi="仿宋" w:eastAsia="仿宋"/>
          <w:b/>
          <w:bCs/>
          <w:sz w:val="24"/>
          <w:szCs w:val="24"/>
          <w:highlight w:val="none"/>
        </w:rPr>
        <w:t>1.货物及数量</w:t>
      </w:r>
    </w:p>
    <w:p w14:paraId="3E510FF9">
      <w:pPr>
        <w:numPr>
          <w:ilvl w:val="255"/>
          <w:numId w:val="0"/>
        </w:numPr>
        <w:spacing w:line="48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1.1货物的名称、数量、规格、生产厂家等详见下表。</w:t>
      </w:r>
    </w:p>
    <w:tbl>
      <w:tblPr>
        <w:tblStyle w:val="20"/>
        <w:tblW w:w="8237" w:type="dxa"/>
        <w:jc w:val="center"/>
        <w:tblLayout w:type="fixed"/>
        <w:tblCellMar>
          <w:top w:w="0" w:type="dxa"/>
          <w:left w:w="108" w:type="dxa"/>
          <w:bottom w:w="0" w:type="dxa"/>
          <w:right w:w="108" w:type="dxa"/>
        </w:tblCellMar>
      </w:tblPr>
      <w:tblGrid>
        <w:gridCol w:w="504"/>
        <w:gridCol w:w="1378"/>
        <w:gridCol w:w="1013"/>
        <w:gridCol w:w="1127"/>
        <w:gridCol w:w="1700"/>
        <w:gridCol w:w="1687"/>
        <w:gridCol w:w="828"/>
      </w:tblGrid>
      <w:tr w14:paraId="6F8E68B6">
        <w:tblPrEx>
          <w:tblCellMar>
            <w:top w:w="0" w:type="dxa"/>
            <w:left w:w="108" w:type="dxa"/>
            <w:bottom w:w="0" w:type="dxa"/>
            <w:right w:w="108" w:type="dxa"/>
          </w:tblCellMar>
        </w:tblPrEx>
        <w:trPr>
          <w:trHeight w:val="722" w:hRule="atLeast"/>
          <w:jc w:val="center"/>
        </w:trPr>
        <w:tc>
          <w:tcPr>
            <w:tcW w:w="504" w:type="dxa"/>
            <w:tcBorders>
              <w:top w:val="single" w:color="000000" w:sz="4" w:space="0"/>
              <w:left w:val="single" w:color="000000" w:sz="4" w:space="0"/>
              <w:bottom w:val="nil"/>
              <w:right w:val="single" w:color="000000" w:sz="4" w:space="0"/>
            </w:tcBorders>
            <w:vAlign w:val="center"/>
          </w:tcPr>
          <w:p w14:paraId="46DE9966">
            <w:pPr>
              <w:jc w:val="center"/>
              <w:textAlignment w:val="center"/>
              <w:rPr>
                <w:rFonts w:hint="eastAsia" w:ascii="仿宋" w:hAnsi="仿宋" w:eastAsia="仿宋" w:cs="仿宋"/>
                <w:szCs w:val="21"/>
                <w:highlight w:val="none"/>
              </w:rPr>
            </w:pPr>
            <w:r>
              <w:rPr>
                <w:rFonts w:hint="eastAsia" w:ascii="仿宋" w:hAnsi="仿宋" w:eastAsia="仿宋" w:cs="仿宋"/>
                <w:kern w:val="0"/>
                <w:highlight w:val="none"/>
              </w:rPr>
              <w:t>序号</w:t>
            </w:r>
          </w:p>
        </w:tc>
        <w:tc>
          <w:tcPr>
            <w:tcW w:w="1378" w:type="dxa"/>
            <w:tcBorders>
              <w:top w:val="single" w:color="000000" w:sz="4" w:space="0"/>
              <w:left w:val="nil"/>
              <w:bottom w:val="nil"/>
              <w:right w:val="single" w:color="auto" w:sz="4" w:space="0"/>
            </w:tcBorders>
            <w:vAlign w:val="center"/>
          </w:tcPr>
          <w:p w14:paraId="64AFC501">
            <w:pPr>
              <w:jc w:val="center"/>
              <w:textAlignment w:val="center"/>
              <w:rPr>
                <w:rFonts w:hint="eastAsia" w:ascii="仿宋" w:hAnsi="仿宋" w:eastAsia="仿宋" w:cs="仿宋"/>
                <w:szCs w:val="21"/>
                <w:highlight w:val="none"/>
              </w:rPr>
            </w:pPr>
            <w:r>
              <w:rPr>
                <w:rFonts w:hint="eastAsia" w:ascii="仿宋" w:hAnsi="仿宋" w:eastAsia="仿宋" w:cs="仿宋"/>
                <w:kern w:val="0"/>
                <w:highlight w:val="none"/>
              </w:rPr>
              <w:t>名称</w:t>
            </w:r>
          </w:p>
        </w:tc>
        <w:tc>
          <w:tcPr>
            <w:tcW w:w="1013" w:type="dxa"/>
            <w:tcBorders>
              <w:top w:val="single" w:color="000000" w:sz="4" w:space="0"/>
              <w:left w:val="nil"/>
              <w:bottom w:val="nil"/>
              <w:right w:val="single" w:color="000000" w:sz="4" w:space="0"/>
            </w:tcBorders>
            <w:vAlign w:val="center"/>
          </w:tcPr>
          <w:p w14:paraId="4625A73B">
            <w:pPr>
              <w:jc w:val="center"/>
              <w:textAlignment w:val="center"/>
              <w:rPr>
                <w:rFonts w:hint="eastAsia" w:ascii="仿宋" w:hAnsi="仿宋" w:eastAsia="仿宋" w:cs="仿宋"/>
                <w:szCs w:val="21"/>
                <w:highlight w:val="none"/>
              </w:rPr>
            </w:pPr>
            <w:r>
              <w:rPr>
                <w:rFonts w:hint="eastAsia" w:ascii="仿宋" w:hAnsi="仿宋" w:eastAsia="仿宋" w:cs="仿宋"/>
                <w:kern w:val="0"/>
                <w:highlight w:val="none"/>
              </w:rPr>
              <w:t>规格型号</w:t>
            </w:r>
          </w:p>
        </w:tc>
        <w:tc>
          <w:tcPr>
            <w:tcW w:w="1127" w:type="dxa"/>
            <w:tcBorders>
              <w:top w:val="single" w:color="000000" w:sz="4" w:space="0"/>
              <w:left w:val="nil"/>
              <w:bottom w:val="nil"/>
              <w:right w:val="single" w:color="000000" w:sz="4" w:space="0"/>
            </w:tcBorders>
            <w:vAlign w:val="center"/>
          </w:tcPr>
          <w:p w14:paraId="2D8D638B">
            <w:pPr>
              <w:jc w:val="center"/>
              <w:textAlignment w:val="center"/>
              <w:rPr>
                <w:rFonts w:hint="eastAsia" w:ascii="仿宋" w:hAnsi="仿宋" w:eastAsia="仿宋" w:cs="仿宋"/>
                <w:szCs w:val="21"/>
                <w:highlight w:val="none"/>
              </w:rPr>
            </w:pPr>
            <w:r>
              <w:rPr>
                <w:rFonts w:hint="eastAsia" w:ascii="仿宋" w:hAnsi="仿宋" w:eastAsia="仿宋" w:cs="仿宋"/>
                <w:kern w:val="0"/>
                <w:highlight w:val="none"/>
              </w:rPr>
              <w:t>单位</w:t>
            </w:r>
          </w:p>
        </w:tc>
        <w:tc>
          <w:tcPr>
            <w:tcW w:w="1700" w:type="dxa"/>
            <w:tcBorders>
              <w:top w:val="single" w:color="000000" w:sz="4" w:space="0"/>
              <w:left w:val="nil"/>
              <w:bottom w:val="single" w:color="000000" w:sz="4" w:space="0"/>
              <w:right w:val="single" w:color="000000" w:sz="4" w:space="0"/>
            </w:tcBorders>
            <w:vAlign w:val="center"/>
          </w:tcPr>
          <w:p w14:paraId="24308E8F">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不含税单价</w:t>
            </w:r>
          </w:p>
        </w:tc>
        <w:tc>
          <w:tcPr>
            <w:tcW w:w="1687" w:type="dxa"/>
            <w:tcBorders>
              <w:top w:val="single" w:color="000000" w:sz="4" w:space="0"/>
              <w:left w:val="nil"/>
              <w:bottom w:val="single" w:color="000000" w:sz="4" w:space="0"/>
              <w:right w:val="single" w:color="000000" w:sz="4" w:space="0"/>
            </w:tcBorders>
            <w:vAlign w:val="center"/>
          </w:tcPr>
          <w:p w14:paraId="75D9CD3A">
            <w:pPr>
              <w:jc w:val="center"/>
              <w:textAlignment w:val="center"/>
              <w:rPr>
                <w:rFonts w:hint="eastAsia" w:ascii="仿宋" w:hAnsi="仿宋" w:eastAsia="仿宋" w:cs="仿宋"/>
                <w:szCs w:val="21"/>
                <w:highlight w:val="none"/>
              </w:rPr>
            </w:pPr>
            <w:r>
              <w:rPr>
                <w:rFonts w:hint="eastAsia" w:ascii="仿宋" w:hAnsi="仿宋" w:eastAsia="仿宋" w:cs="仿宋"/>
                <w:kern w:val="0"/>
                <w:highlight w:val="none"/>
              </w:rPr>
              <w:t xml:space="preserve">含税单价 </w:t>
            </w:r>
          </w:p>
        </w:tc>
        <w:tc>
          <w:tcPr>
            <w:tcW w:w="828" w:type="dxa"/>
            <w:tcBorders>
              <w:top w:val="single" w:color="000000" w:sz="4" w:space="0"/>
              <w:left w:val="nil"/>
              <w:bottom w:val="single" w:color="000000" w:sz="4" w:space="0"/>
              <w:right w:val="single" w:color="000000" w:sz="4" w:space="0"/>
            </w:tcBorders>
            <w:vAlign w:val="center"/>
          </w:tcPr>
          <w:p w14:paraId="3FA31CA3">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备注</w:t>
            </w:r>
          </w:p>
        </w:tc>
      </w:tr>
      <w:tr w14:paraId="15F5CC4E">
        <w:tblPrEx>
          <w:tblCellMar>
            <w:top w:w="0" w:type="dxa"/>
            <w:left w:w="108" w:type="dxa"/>
            <w:bottom w:w="0" w:type="dxa"/>
            <w:right w:w="108" w:type="dxa"/>
          </w:tblCellMar>
        </w:tblPrEx>
        <w:trPr>
          <w:trHeight w:val="66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4554039B">
            <w:pPr>
              <w:widowControl/>
              <w:jc w:val="center"/>
              <w:textAlignment w:val="center"/>
              <w:rPr>
                <w:rFonts w:hint="eastAsia" w:ascii="仿宋" w:hAnsi="仿宋" w:eastAsia="仿宋" w:cs="仿宋"/>
                <w:color w:val="000000"/>
                <w:kern w:val="0"/>
                <w:sz w:val="22"/>
                <w:highlight w:val="none"/>
                <w:lang w:bidi="ar"/>
              </w:rPr>
            </w:pPr>
          </w:p>
        </w:tc>
        <w:tc>
          <w:tcPr>
            <w:tcW w:w="1378" w:type="dxa"/>
            <w:tcBorders>
              <w:top w:val="single" w:color="000000" w:sz="4" w:space="0"/>
              <w:left w:val="nil"/>
              <w:bottom w:val="single" w:color="000000" w:sz="4" w:space="0"/>
              <w:right w:val="single" w:color="auto" w:sz="4" w:space="0"/>
            </w:tcBorders>
            <w:vAlign w:val="center"/>
          </w:tcPr>
          <w:p w14:paraId="431B23F4">
            <w:pPr>
              <w:widowControl/>
              <w:adjustRightInd w:val="0"/>
              <w:snapToGrid w:val="0"/>
              <w:jc w:val="center"/>
              <w:textAlignment w:val="center"/>
              <w:rPr>
                <w:rFonts w:hint="eastAsia" w:ascii="仿宋" w:hAnsi="仿宋" w:eastAsia="仿宋" w:cs="仿宋"/>
                <w:color w:val="000000"/>
                <w:kern w:val="0"/>
                <w:sz w:val="22"/>
                <w:highlight w:val="none"/>
                <w:lang w:bidi="ar"/>
              </w:rPr>
            </w:pPr>
          </w:p>
        </w:tc>
        <w:tc>
          <w:tcPr>
            <w:tcW w:w="1013" w:type="dxa"/>
            <w:tcBorders>
              <w:top w:val="single" w:color="000000" w:sz="4" w:space="0"/>
              <w:left w:val="nil"/>
              <w:bottom w:val="single" w:color="000000" w:sz="4" w:space="0"/>
              <w:right w:val="single" w:color="000000" w:sz="4" w:space="0"/>
            </w:tcBorders>
            <w:vAlign w:val="center"/>
          </w:tcPr>
          <w:p w14:paraId="033F2EE5">
            <w:pPr>
              <w:pStyle w:val="38"/>
              <w:jc w:val="center"/>
              <w:rPr>
                <w:rFonts w:hint="eastAsia" w:ascii="仿宋" w:hAnsi="仿宋" w:eastAsia="仿宋" w:cs="仿宋"/>
                <w:color w:val="000000"/>
                <w:kern w:val="0"/>
                <w:sz w:val="22"/>
                <w:szCs w:val="22"/>
                <w:highlight w:val="none"/>
                <w:lang w:bidi="ar"/>
              </w:rPr>
            </w:pPr>
          </w:p>
        </w:tc>
        <w:tc>
          <w:tcPr>
            <w:tcW w:w="1127" w:type="dxa"/>
            <w:tcBorders>
              <w:top w:val="single" w:color="000000" w:sz="4" w:space="0"/>
              <w:left w:val="nil"/>
              <w:bottom w:val="single" w:color="000000" w:sz="4" w:space="0"/>
              <w:right w:val="single" w:color="000000" w:sz="4" w:space="0"/>
            </w:tcBorders>
            <w:vAlign w:val="center"/>
          </w:tcPr>
          <w:p w14:paraId="29F6C635">
            <w:pPr>
              <w:jc w:val="center"/>
              <w:textAlignment w:val="center"/>
              <w:rPr>
                <w:rFonts w:hint="eastAsia" w:ascii="仿宋" w:hAnsi="仿宋" w:eastAsia="仿宋" w:cs="仿宋"/>
                <w:kern w:val="0"/>
                <w:szCs w:val="21"/>
                <w:highlight w:val="none"/>
              </w:rPr>
            </w:pPr>
          </w:p>
        </w:tc>
        <w:tc>
          <w:tcPr>
            <w:tcW w:w="1700" w:type="dxa"/>
            <w:tcBorders>
              <w:top w:val="single" w:color="000000" w:sz="4" w:space="0"/>
              <w:left w:val="nil"/>
              <w:bottom w:val="single" w:color="000000" w:sz="4" w:space="0"/>
              <w:right w:val="single" w:color="000000" w:sz="4" w:space="0"/>
            </w:tcBorders>
            <w:noWrap/>
            <w:vAlign w:val="center"/>
          </w:tcPr>
          <w:p w14:paraId="7B1EAFE0">
            <w:pPr>
              <w:widowControl/>
              <w:jc w:val="center"/>
              <w:textAlignment w:val="center"/>
              <w:rPr>
                <w:rFonts w:hint="eastAsia" w:ascii="仿宋" w:hAnsi="仿宋" w:eastAsia="仿宋" w:cs="仿宋"/>
                <w:kern w:val="0"/>
                <w:szCs w:val="21"/>
                <w:highlight w:val="none"/>
              </w:rPr>
            </w:pPr>
          </w:p>
        </w:tc>
        <w:tc>
          <w:tcPr>
            <w:tcW w:w="1687" w:type="dxa"/>
            <w:tcBorders>
              <w:top w:val="single" w:color="000000" w:sz="4" w:space="0"/>
              <w:left w:val="nil"/>
              <w:bottom w:val="single" w:color="000000" w:sz="4" w:space="0"/>
              <w:right w:val="single" w:color="000000" w:sz="4" w:space="0"/>
            </w:tcBorders>
            <w:noWrap/>
            <w:vAlign w:val="center"/>
          </w:tcPr>
          <w:p w14:paraId="634E264D">
            <w:pPr>
              <w:widowControl/>
              <w:jc w:val="center"/>
              <w:textAlignment w:val="center"/>
              <w:rPr>
                <w:rFonts w:hint="eastAsia" w:ascii="仿宋" w:hAnsi="仿宋" w:eastAsia="仿宋" w:cs="仿宋"/>
                <w:szCs w:val="21"/>
                <w:highlight w:val="none"/>
              </w:rPr>
            </w:pPr>
          </w:p>
        </w:tc>
        <w:tc>
          <w:tcPr>
            <w:tcW w:w="828" w:type="dxa"/>
            <w:tcBorders>
              <w:top w:val="single" w:color="000000" w:sz="4" w:space="0"/>
              <w:left w:val="nil"/>
              <w:bottom w:val="single" w:color="000000" w:sz="4" w:space="0"/>
              <w:right w:val="single" w:color="000000" w:sz="4" w:space="0"/>
            </w:tcBorders>
            <w:noWrap/>
            <w:vAlign w:val="center"/>
          </w:tcPr>
          <w:p w14:paraId="4820309D">
            <w:pPr>
              <w:spacing w:line="240" w:lineRule="exact"/>
              <w:jc w:val="center"/>
              <w:textAlignment w:val="center"/>
              <w:rPr>
                <w:rFonts w:hint="eastAsia" w:ascii="仿宋" w:hAnsi="仿宋" w:eastAsia="仿宋" w:cs="仿宋"/>
                <w:szCs w:val="21"/>
                <w:highlight w:val="none"/>
              </w:rPr>
            </w:pPr>
          </w:p>
        </w:tc>
      </w:tr>
      <w:tr w14:paraId="78CB0AC7">
        <w:tblPrEx>
          <w:tblCellMar>
            <w:top w:w="0" w:type="dxa"/>
            <w:left w:w="108" w:type="dxa"/>
            <w:bottom w:w="0" w:type="dxa"/>
            <w:right w:w="108" w:type="dxa"/>
          </w:tblCellMar>
        </w:tblPrEx>
        <w:trPr>
          <w:trHeight w:val="675"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11AB9AF0">
            <w:pPr>
              <w:widowControl/>
              <w:jc w:val="center"/>
              <w:textAlignment w:val="center"/>
              <w:rPr>
                <w:rFonts w:hint="eastAsia" w:ascii="仿宋" w:hAnsi="仿宋" w:eastAsia="仿宋" w:cs="仿宋"/>
                <w:color w:val="000000"/>
                <w:kern w:val="0"/>
                <w:sz w:val="22"/>
                <w:highlight w:val="none"/>
                <w:lang w:bidi="ar"/>
              </w:rPr>
            </w:pPr>
          </w:p>
        </w:tc>
        <w:tc>
          <w:tcPr>
            <w:tcW w:w="1378" w:type="dxa"/>
            <w:tcBorders>
              <w:top w:val="single" w:color="000000" w:sz="4" w:space="0"/>
              <w:left w:val="nil"/>
              <w:bottom w:val="single" w:color="000000" w:sz="4" w:space="0"/>
              <w:right w:val="single" w:color="auto" w:sz="4" w:space="0"/>
            </w:tcBorders>
            <w:vAlign w:val="center"/>
          </w:tcPr>
          <w:p w14:paraId="7F63B16A">
            <w:pPr>
              <w:widowControl/>
              <w:adjustRightInd w:val="0"/>
              <w:snapToGrid w:val="0"/>
              <w:jc w:val="center"/>
              <w:textAlignment w:val="center"/>
              <w:rPr>
                <w:rFonts w:hint="eastAsia" w:ascii="仿宋" w:hAnsi="仿宋" w:eastAsia="仿宋" w:cs="仿宋"/>
                <w:color w:val="000000"/>
                <w:kern w:val="0"/>
                <w:sz w:val="22"/>
                <w:highlight w:val="none"/>
                <w:lang w:bidi="ar"/>
              </w:rPr>
            </w:pPr>
          </w:p>
        </w:tc>
        <w:tc>
          <w:tcPr>
            <w:tcW w:w="1013" w:type="dxa"/>
            <w:tcBorders>
              <w:top w:val="single" w:color="000000" w:sz="4" w:space="0"/>
              <w:left w:val="nil"/>
              <w:bottom w:val="single" w:color="000000" w:sz="4" w:space="0"/>
              <w:right w:val="single" w:color="000000" w:sz="4" w:space="0"/>
            </w:tcBorders>
            <w:vAlign w:val="center"/>
          </w:tcPr>
          <w:p w14:paraId="2E9A339C">
            <w:pPr>
              <w:pStyle w:val="38"/>
              <w:jc w:val="center"/>
              <w:rPr>
                <w:rFonts w:hint="eastAsia" w:ascii="仿宋" w:hAnsi="仿宋" w:eastAsia="仿宋" w:cs="仿宋"/>
                <w:color w:val="000000"/>
                <w:kern w:val="0"/>
                <w:sz w:val="22"/>
                <w:szCs w:val="22"/>
                <w:highlight w:val="none"/>
                <w:lang w:bidi="ar"/>
              </w:rPr>
            </w:pPr>
          </w:p>
        </w:tc>
        <w:tc>
          <w:tcPr>
            <w:tcW w:w="1127" w:type="dxa"/>
            <w:tcBorders>
              <w:top w:val="single" w:color="000000" w:sz="4" w:space="0"/>
              <w:left w:val="nil"/>
              <w:bottom w:val="single" w:color="000000" w:sz="4" w:space="0"/>
              <w:right w:val="single" w:color="000000" w:sz="4" w:space="0"/>
            </w:tcBorders>
            <w:vAlign w:val="center"/>
          </w:tcPr>
          <w:p w14:paraId="6CBAA423">
            <w:pPr>
              <w:jc w:val="center"/>
              <w:textAlignment w:val="center"/>
              <w:rPr>
                <w:rFonts w:hint="eastAsia" w:ascii="仿宋" w:hAnsi="仿宋" w:eastAsia="仿宋" w:cs="仿宋"/>
                <w:kern w:val="0"/>
                <w:szCs w:val="21"/>
                <w:highlight w:val="none"/>
              </w:rPr>
            </w:pPr>
          </w:p>
        </w:tc>
        <w:tc>
          <w:tcPr>
            <w:tcW w:w="1700" w:type="dxa"/>
            <w:tcBorders>
              <w:top w:val="single" w:color="000000" w:sz="4" w:space="0"/>
              <w:left w:val="nil"/>
              <w:bottom w:val="single" w:color="000000" w:sz="4" w:space="0"/>
              <w:right w:val="single" w:color="000000" w:sz="4" w:space="0"/>
            </w:tcBorders>
            <w:noWrap/>
            <w:vAlign w:val="center"/>
          </w:tcPr>
          <w:p w14:paraId="4F37C2F5">
            <w:pPr>
              <w:widowControl/>
              <w:jc w:val="center"/>
              <w:textAlignment w:val="center"/>
              <w:rPr>
                <w:rFonts w:hint="eastAsia" w:ascii="仿宋" w:hAnsi="仿宋" w:eastAsia="仿宋" w:cs="仿宋"/>
                <w:kern w:val="0"/>
                <w:szCs w:val="21"/>
                <w:highlight w:val="none"/>
              </w:rPr>
            </w:pPr>
          </w:p>
        </w:tc>
        <w:tc>
          <w:tcPr>
            <w:tcW w:w="1687" w:type="dxa"/>
            <w:tcBorders>
              <w:top w:val="single" w:color="000000" w:sz="4" w:space="0"/>
              <w:left w:val="nil"/>
              <w:bottom w:val="single" w:color="000000" w:sz="4" w:space="0"/>
              <w:right w:val="single" w:color="000000" w:sz="4" w:space="0"/>
            </w:tcBorders>
            <w:noWrap/>
            <w:vAlign w:val="center"/>
          </w:tcPr>
          <w:p w14:paraId="293F0EBE">
            <w:pPr>
              <w:widowControl/>
              <w:jc w:val="center"/>
              <w:textAlignment w:val="center"/>
              <w:rPr>
                <w:rFonts w:hint="eastAsia" w:ascii="仿宋" w:hAnsi="仿宋" w:eastAsia="仿宋" w:cs="仿宋"/>
                <w:szCs w:val="21"/>
                <w:highlight w:val="none"/>
              </w:rPr>
            </w:pPr>
          </w:p>
        </w:tc>
        <w:tc>
          <w:tcPr>
            <w:tcW w:w="828" w:type="dxa"/>
            <w:tcBorders>
              <w:top w:val="single" w:color="000000" w:sz="4" w:space="0"/>
              <w:left w:val="nil"/>
              <w:bottom w:val="single" w:color="000000" w:sz="4" w:space="0"/>
              <w:right w:val="single" w:color="000000" w:sz="4" w:space="0"/>
            </w:tcBorders>
            <w:noWrap/>
            <w:vAlign w:val="center"/>
          </w:tcPr>
          <w:p w14:paraId="73254B6A">
            <w:pPr>
              <w:jc w:val="center"/>
              <w:textAlignment w:val="center"/>
              <w:rPr>
                <w:rFonts w:hint="eastAsia" w:ascii="仿宋" w:hAnsi="仿宋" w:eastAsia="仿宋" w:cs="仿宋"/>
                <w:szCs w:val="21"/>
                <w:highlight w:val="none"/>
              </w:rPr>
            </w:pPr>
          </w:p>
        </w:tc>
      </w:tr>
      <w:tr w14:paraId="3ED49E08">
        <w:tblPrEx>
          <w:tblCellMar>
            <w:top w:w="0" w:type="dxa"/>
            <w:left w:w="108" w:type="dxa"/>
            <w:bottom w:w="0" w:type="dxa"/>
            <w:right w:w="108" w:type="dxa"/>
          </w:tblCellMar>
        </w:tblPrEx>
        <w:trPr>
          <w:trHeight w:val="41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20697C71">
            <w:pPr>
              <w:jc w:val="center"/>
              <w:textAlignment w:val="center"/>
              <w:rPr>
                <w:rFonts w:hint="eastAsia" w:ascii="仿宋" w:hAnsi="仿宋" w:eastAsia="仿宋" w:cs="仿宋"/>
                <w:kern w:val="0"/>
                <w:szCs w:val="21"/>
                <w:highlight w:val="none"/>
              </w:rPr>
            </w:pPr>
          </w:p>
        </w:tc>
        <w:tc>
          <w:tcPr>
            <w:tcW w:w="3518" w:type="dxa"/>
            <w:gridSpan w:val="3"/>
            <w:tcBorders>
              <w:top w:val="single" w:color="000000" w:sz="4" w:space="0"/>
              <w:left w:val="nil"/>
              <w:bottom w:val="single" w:color="000000" w:sz="4" w:space="0"/>
              <w:right w:val="single" w:color="000000" w:sz="4" w:space="0"/>
            </w:tcBorders>
            <w:vAlign w:val="center"/>
          </w:tcPr>
          <w:p w14:paraId="09D7B02E">
            <w:pPr>
              <w:jc w:val="center"/>
              <w:textAlignment w:val="center"/>
              <w:rPr>
                <w:rFonts w:hint="eastAsia" w:ascii="仿宋" w:hAnsi="仿宋" w:eastAsia="仿宋" w:cs="仿宋"/>
                <w:kern w:val="0"/>
                <w:szCs w:val="21"/>
                <w:highlight w:val="none"/>
              </w:rPr>
            </w:pPr>
            <w:r>
              <w:rPr>
                <w:rFonts w:hint="eastAsia" w:ascii="仿宋" w:hAnsi="仿宋" w:eastAsia="仿宋" w:cs="仿宋"/>
                <w:kern w:val="0"/>
                <w:highlight w:val="none"/>
              </w:rPr>
              <w:t>合计</w:t>
            </w:r>
          </w:p>
        </w:tc>
        <w:tc>
          <w:tcPr>
            <w:tcW w:w="1700" w:type="dxa"/>
            <w:tcBorders>
              <w:top w:val="single" w:color="000000" w:sz="4" w:space="0"/>
              <w:left w:val="nil"/>
              <w:bottom w:val="single" w:color="000000" w:sz="4" w:space="0"/>
              <w:right w:val="single" w:color="000000" w:sz="4" w:space="0"/>
            </w:tcBorders>
            <w:noWrap/>
            <w:vAlign w:val="center"/>
          </w:tcPr>
          <w:p w14:paraId="328E7FDF">
            <w:pPr>
              <w:widowControl/>
              <w:jc w:val="center"/>
              <w:textAlignment w:val="center"/>
              <w:rPr>
                <w:rFonts w:hint="eastAsia" w:ascii="仿宋" w:hAnsi="仿宋" w:eastAsia="仿宋" w:cs="仿宋"/>
                <w:color w:val="000000"/>
                <w:szCs w:val="21"/>
                <w:highlight w:val="none"/>
              </w:rPr>
            </w:pPr>
          </w:p>
        </w:tc>
        <w:tc>
          <w:tcPr>
            <w:tcW w:w="1687" w:type="dxa"/>
            <w:tcBorders>
              <w:top w:val="single" w:color="000000" w:sz="4" w:space="0"/>
              <w:left w:val="nil"/>
              <w:bottom w:val="single" w:color="000000" w:sz="4" w:space="0"/>
              <w:right w:val="single" w:color="000000" w:sz="4" w:space="0"/>
            </w:tcBorders>
            <w:noWrap/>
            <w:vAlign w:val="center"/>
          </w:tcPr>
          <w:p w14:paraId="1FCC5978">
            <w:pPr>
              <w:widowControl/>
              <w:jc w:val="center"/>
              <w:textAlignment w:val="center"/>
              <w:rPr>
                <w:rFonts w:hint="eastAsia" w:ascii="仿宋" w:hAnsi="仿宋" w:eastAsia="仿宋" w:cs="仿宋"/>
                <w:color w:val="000000"/>
                <w:szCs w:val="21"/>
                <w:highlight w:val="none"/>
              </w:rPr>
            </w:pPr>
          </w:p>
        </w:tc>
        <w:tc>
          <w:tcPr>
            <w:tcW w:w="828" w:type="dxa"/>
            <w:tcBorders>
              <w:top w:val="single" w:color="000000" w:sz="4" w:space="0"/>
              <w:left w:val="nil"/>
              <w:bottom w:val="single" w:color="000000" w:sz="4" w:space="0"/>
              <w:right w:val="single" w:color="000000" w:sz="4" w:space="0"/>
            </w:tcBorders>
            <w:noWrap/>
            <w:vAlign w:val="center"/>
          </w:tcPr>
          <w:p w14:paraId="7D9100B2">
            <w:pPr>
              <w:jc w:val="center"/>
              <w:textAlignment w:val="center"/>
              <w:rPr>
                <w:rFonts w:hint="eastAsia" w:ascii="仿宋" w:hAnsi="仿宋" w:eastAsia="仿宋" w:cs="仿宋"/>
                <w:szCs w:val="21"/>
                <w:highlight w:val="none"/>
              </w:rPr>
            </w:pPr>
          </w:p>
        </w:tc>
      </w:tr>
      <w:tr w14:paraId="3B287F15">
        <w:tblPrEx>
          <w:tblCellMar>
            <w:top w:w="0" w:type="dxa"/>
            <w:left w:w="108" w:type="dxa"/>
            <w:bottom w:w="0" w:type="dxa"/>
            <w:right w:w="108" w:type="dxa"/>
          </w:tblCellMar>
        </w:tblPrEx>
        <w:trPr>
          <w:trHeight w:val="446" w:hRule="atLeast"/>
          <w:jc w:val="center"/>
        </w:trPr>
        <w:tc>
          <w:tcPr>
            <w:tcW w:w="504" w:type="dxa"/>
            <w:tcBorders>
              <w:top w:val="single" w:color="000000" w:sz="4" w:space="0"/>
              <w:left w:val="single" w:color="000000" w:sz="4" w:space="0"/>
              <w:bottom w:val="single" w:color="000000" w:sz="4" w:space="0"/>
              <w:right w:val="single" w:color="000000" w:sz="4" w:space="0"/>
            </w:tcBorders>
            <w:vAlign w:val="center"/>
          </w:tcPr>
          <w:p w14:paraId="7DBF6C00">
            <w:pPr>
              <w:jc w:val="center"/>
              <w:textAlignment w:val="center"/>
              <w:rPr>
                <w:rFonts w:hint="eastAsia" w:ascii="仿宋" w:hAnsi="仿宋" w:eastAsia="仿宋" w:cs="仿宋"/>
                <w:kern w:val="0"/>
                <w:szCs w:val="21"/>
                <w:highlight w:val="none"/>
              </w:rPr>
            </w:pPr>
          </w:p>
        </w:tc>
        <w:tc>
          <w:tcPr>
            <w:tcW w:w="3518" w:type="dxa"/>
            <w:gridSpan w:val="3"/>
            <w:tcBorders>
              <w:top w:val="single" w:color="000000" w:sz="4" w:space="0"/>
              <w:left w:val="nil"/>
              <w:bottom w:val="single" w:color="000000" w:sz="4" w:space="0"/>
              <w:right w:val="single" w:color="000000" w:sz="4" w:space="0"/>
            </w:tcBorders>
            <w:vAlign w:val="center"/>
          </w:tcPr>
          <w:p w14:paraId="339F26B3">
            <w:pPr>
              <w:jc w:val="center"/>
              <w:textAlignment w:val="center"/>
              <w:rPr>
                <w:rFonts w:hint="eastAsia" w:ascii="仿宋" w:hAnsi="仿宋" w:eastAsia="仿宋" w:cs="仿宋"/>
                <w:kern w:val="0"/>
                <w:highlight w:val="none"/>
              </w:rPr>
            </w:pPr>
            <w:r>
              <w:rPr>
                <w:rFonts w:hint="eastAsia" w:ascii="仿宋" w:hAnsi="仿宋" w:eastAsia="仿宋" w:cs="仿宋"/>
                <w:kern w:val="0"/>
                <w:highlight w:val="none"/>
              </w:rPr>
              <w:t>提供增值税专用发票税率</w:t>
            </w:r>
          </w:p>
        </w:tc>
        <w:tc>
          <w:tcPr>
            <w:tcW w:w="4215" w:type="dxa"/>
            <w:gridSpan w:val="3"/>
            <w:tcBorders>
              <w:top w:val="single" w:color="000000" w:sz="4" w:space="0"/>
              <w:left w:val="nil"/>
              <w:bottom w:val="single" w:color="000000" w:sz="4" w:space="0"/>
              <w:right w:val="single" w:color="000000" w:sz="4" w:space="0"/>
            </w:tcBorders>
            <w:noWrap/>
            <w:vAlign w:val="center"/>
          </w:tcPr>
          <w:p w14:paraId="7B9C6DAD">
            <w:pPr>
              <w:jc w:val="center"/>
              <w:textAlignment w:val="center"/>
              <w:rPr>
                <w:rFonts w:hint="eastAsia" w:ascii="仿宋" w:hAnsi="仿宋" w:eastAsia="仿宋" w:cs="仿宋"/>
                <w:szCs w:val="21"/>
                <w:highlight w:val="none"/>
              </w:rPr>
            </w:pPr>
          </w:p>
        </w:tc>
      </w:tr>
    </w:tbl>
    <w:p w14:paraId="1BA01E93">
      <w:pPr>
        <w:spacing w:line="560" w:lineRule="exact"/>
        <w:ind w:firstLine="480" w:firstLineChars="200"/>
        <w:rPr>
          <w:rFonts w:hint="eastAsia" w:ascii="仿宋" w:hAnsi="仿宋" w:eastAsia="仿宋"/>
          <w:sz w:val="24"/>
          <w:szCs w:val="24"/>
          <w:highlight w:val="none"/>
        </w:rPr>
      </w:pPr>
      <w:r>
        <w:rPr>
          <w:rFonts w:hint="eastAsia" w:ascii="Times New Roman" w:hAnsi="Times New Roman" w:eastAsia="仿宋"/>
          <w:sz w:val="24"/>
          <w:szCs w:val="24"/>
          <w:highlight w:val="none"/>
        </w:rPr>
        <w:t xml:space="preserve">1.2 </w:t>
      </w:r>
      <w:r>
        <w:rPr>
          <w:rFonts w:hint="eastAsia" w:ascii="仿宋" w:hAnsi="仿宋" w:eastAsia="仿宋"/>
          <w:sz w:val="24"/>
          <w:szCs w:val="24"/>
          <w:highlight w:val="none"/>
        </w:rPr>
        <w:t>暂定单价（含税）为：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元，金额大写：</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。其中，不含税价款为：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税金为：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14:paraId="693CB2C7">
      <w:pPr>
        <w:numPr>
          <w:ilvl w:val="0"/>
          <w:numId w:val="0"/>
        </w:numPr>
        <w:spacing w:line="560" w:lineRule="exact"/>
        <w:ind w:left="0" w:firstLine="480" w:firstLineChars="200"/>
        <w:rPr>
          <w:rFonts w:hint="eastAsia" w:ascii="仿宋" w:hAnsi="仿宋" w:eastAsia="仿宋"/>
          <w:b/>
          <w:bCs/>
          <w:sz w:val="24"/>
          <w:szCs w:val="24"/>
          <w:highlight w:val="none"/>
        </w:rPr>
      </w:pPr>
      <w:bookmarkStart w:id="12" w:name="_Hlk145019421"/>
      <w:r>
        <w:rPr>
          <w:rFonts w:hint="eastAsia" w:ascii="Times New Roman" w:hAnsi="Times New Roman" w:eastAsia="仿宋"/>
          <w:sz w:val="24"/>
          <w:szCs w:val="24"/>
          <w:highlight w:val="none"/>
        </w:rPr>
        <w:t>1.3</w:t>
      </w:r>
      <w:r>
        <w:rPr>
          <w:rFonts w:hint="eastAsia" w:ascii="仿宋" w:hAnsi="仿宋" w:eastAsia="仿宋"/>
          <w:bCs w:val="0"/>
          <w:sz w:val="24"/>
          <w:szCs w:val="24"/>
          <w:highlight w:val="none"/>
        </w:rPr>
        <w:t>合同结算单价以及最终结算总价都已包括货物价款、供应商出售该物资应缴纳税金及一切税费、包装费、保险费、运输费、装卸费以及其他运抵至甲方指定交货地点的一切费用，包括售后服务等的各类风险费用，以及其他所有相关服务费用。</w:t>
      </w:r>
      <w:bookmarkEnd w:id="12"/>
      <w:r>
        <w:rPr>
          <w:rFonts w:hint="eastAsia" w:ascii="仿宋" w:hAnsi="仿宋" w:eastAsia="仿宋" w:cs="楷体"/>
          <w:bCs w:val="0"/>
          <w:sz w:val="24"/>
          <w:szCs w:val="24"/>
          <w:highlight w:val="none"/>
        </w:rPr>
        <w:t>当市场上该产品价格变动较大时，根据供应商书面《调价通知函》，双方可协商对此单价进行调整。</w:t>
      </w:r>
      <w:r>
        <w:rPr>
          <w:rFonts w:hint="eastAsia" w:ascii="仿宋" w:hAnsi="仿宋" w:eastAsia="仿宋"/>
          <w:b/>
          <w:bCs/>
          <w:sz w:val="24"/>
          <w:szCs w:val="24"/>
          <w:highlight w:val="none"/>
        </w:rPr>
        <w:t>技术质量要求</w:t>
      </w:r>
    </w:p>
    <w:p w14:paraId="58A35D66">
      <w:pPr>
        <w:widowControl/>
        <w:numPr>
          <w:ilvl w:val="255"/>
          <w:numId w:val="0"/>
        </w:numPr>
        <w:adjustRightInd w:val="0"/>
        <w:snapToGrid w:val="0"/>
        <w:spacing w:line="560" w:lineRule="exact"/>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2.1相关标准规范：</w:t>
      </w:r>
      <w:r>
        <w:rPr>
          <w:rFonts w:hint="eastAsia" w:ascii="仿宋" w:hAnsi="仿宋" w:eastAsia="仿宋" w:cs="Times New Roman"/>
          <w:bCs w:val="0"/>
          <w:sz w:val="24"/>
          <w:szCs w:val="24"/>
          <w:highlight w:val="none"/>
        </w:rPr>
        <w:t>按要求尺寸轧碎的坚固、强韧、耐久的石灰岩石料，符合工程设计规定的级配范围，质量应满足《城镇道路工程施工与质量验收规范》(CJJ 1-2008)要求，试验方法按《公路工程集料试验规程》(JTJ 058-2000)进行。合同履行过程中如有颁布最新标准，则按最新标准执行</w:t>
      </w:r>
      <w:r>
        <w:rPr>
          <w:rFonts w:hint="eastAsia" w:ascii="仿宋" w:hAnsi="仿宋" w:eastAsia="仿宋"/>
          <w:sz w:val="24"/>
          <w:szCs w:val="24"/>
          <w:highlight w:val="none"/>
        </w:rPr>
        <w:t>。</w:t>
      </w:r>
    </w:p>
    <w:p w14:paraId="3AB666F7">
      <w:pPr>
        <w:numPr>
          <w:ilvl w:val="255"/>
          <w:numId w:val="0"/>
        </w:numPr>
        <w:autoSpaceDE/>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2.2质量基本条件：质量等级及相关质量参数需具备检测资质的第三方机构检测报告。2.3材质证明书：根据甲方要求提供相关证明资料，不限于产品说明书。</w:t>
      </w:r>
    </w:p>
    <w:p w14:paraId="0298DDF0">
      <w:pPr>
        <w:numPr>
          <w:ilvl w:val="255"/>
          <w:numId w:val="0"/>
        </w:numPr>
        <w:autoSpaceDE w:val="0"/>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2.4服务质量：产品质量应严格符合工程项目的设计、招标文件及有关工程施工及验收规范的要求，同时产品质量及服务必须满足甲方为保证工程质量而对质量、服务等方面提出的各种进一步要求。</w:t>
      </w:r>
      <w:r>
        <w:rPr>
          <w:rFonts w:ascii="仿宋" w:hAnsi="仿宋" w:eastAsia="仿宋" w:cs="仿宋"/>
          <w:color w:val="000000"/>
          <w:sz w:val="24"/>
          <w:highlight w:val="none"/>
        </w:rPr>
        <w:t>正式送货之前，如需</w:t>
      </w:r>
      <w:r>
        <w:rPr>
          <w:rFonts w:hint="eastAsia" w:ascii="仿宋" w:hAnsi="仿宋" w:eastAsia="仿宋" w:cs="仿宋"/>
          <w:color w:val="000000"/>
          <w:sz w:val="24"/>
          <w:highlight w:val="none"/>
        </w:rPr>
        <w:t>乙</w:t>
      </w:r>
      <w:r>
        <w:rPr>
          <w:rFonts w:ascii="仿宋" w:hAnsi="仿宋" w:eastAsia="仿宋" w:cs="仿宋"/>
          <w:color w:val="000000"/>
          <w:sz w:val="24"/>
          <w:highlight w:val="none"/>
        </w:rPr>
        <w:t>方提供样品，</w:t>
      </w:r>
      <w:r>
        <w:rPr>
          <w:rFonts w:hint="eastAsia" w:ascii="仿宋" w:hAnsi="仿宋" w:eastAsia="仿宋" w:cs="仿宋"/>
          <w:color w:val="000000"/>
          <w:sz w:val="24"/>
          <w:highlight w:val="none"/>
        </w:rPr>
        <w:t>甲</w:t>
      </w:r>
      <w:r>
        <w:rPr>
          <w:rFonts w:ascii="仿宋" w:hAnsi="仿宋" w:eastAsia="仿宋" w:cs="仿宋"/>
          <w:color w:val="000000"/>
          <w:sz w:val="24"/>
          <w:highlight w:val="none"/>
        </w:rPr>
        <w:t>方提前通知</w:t>
      </w:r>
      <w:r>
        <w:rPr>
          <w:rFonts w:hint="eastAsia" w:ascii="仿宋" w:hAnsi="仿宋" w:eastAsia="仿宋" w:cs="仿宋"/>
          <w:color w:val="000000"/>
          <w:sz w:val="24"/>
          <w:highlight w:val="none"/>
        </w:rPr>
        <w:t>乙</w:t>
      </w:r>
      <w:r>
        <w:rPr>
          <w:rFonts w:ascii="仿宋" w:hAnsi="仿宋" w:eastAsia="仿宋" w:cs="仿宋"/>
          <w:color w:val="000000"/>
          <w:sz w:val="24"/>
          <w:highlight w:val="none"/>
        </w:rPr>
        <w:t>方。</w:t>
      </w:r>
    </w:p>
    <w:p w14:paraId="3D86E940">
      <w:pPr>
        <w:numPr>
          <w:ilvl w:val="255"/>
          <w:numId w:val="0"/>
        </w:numPr>
        <w:spacing w:line="560" w:lineRule="exact"/>
        <w:ind w:left="0" w:firstLine="482" w:firstLineChars="200"/>
        <w:rPr>
          <w:rFonts w:hint="eastAsia" w:ascii="仿宋" w:hAnsi="仿宋" w:eastAsia="仿宋"/>
          <w:b/>
          <w:bCs/>
          <w:sz w:val="24"/>
          <w:szCs w:val="24"/>
          <w:highlight w:val="none"/>
        </w:rPr>
      </w:pPr>
      <w:r>
        <w:rPr>
          <w:rFonts w:hint="eastAsia" w:ascii="仿宋" w:hAnsi="仿宋" w:eastAsia="仿宋"/>
          <w:b/>
          <w:bCs/>
          <w:sz w:val="24"/>
          <w:szCs w:val="24"/>
          <w:highlight w:val="none"/>
        </w:rPr>
        <w:t>3.验收方法</w:t>
      </w:r>
    </w:p>
    <w:p w14:paraId="7BAF0468">
      <w:pPr>
        <w:adjustRightInd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Times New Roman"/>
          <w:snapToGrid/>
          <w:color w:val="auto"/>
          <w:spacing w:val="0"/>
          <w:kern w:val="2"/>
          <w:sz w:val="24"/>
          <w:szCs w:val="24"/>
          <w:highlight w:val="none"/>
        </w:rPr>
        <w:t>按实计量，以乙方过磅的出场单据作为结算凭证</w:t>
      </w:r>
      <w:r>
        <w:rPr>
          <w:rFonts w:hint="eastAsia" w:ascii="仿宋" w:hAnsi="仿宋" w:eastAsia="仿宋"/>
          <w:sz w:val="24"/>
          <w:szCs w:val="24"/>
          <w:highlight w:val="none"/>
        </w:rPr>
        <w:t>。</w:t>
      </w:r>
    </w:p>
    <w:p w14:paraId="0448F78E">
      <w:pPr>
        <w:widowControl/>
        <w:adjustRightInd/>
        <w:snapToGrid/>
        <w:spacing w:line="500" w:lineRule="exact"/>
        <w:ind w:firstLine="480" w:firstLineChars="200"/>
        <w:rPr>
          <w:rFonts w:hint="eastAsia" w:ascii="仿宋" w:hAnsi="仿宋" w:eastAsia="仿宋"/>
          <w:sz w:val="24"/>
          <w:szCs w:val="24"/>
          <w:highlight w:val="none"/>
        </w:rPr>
      </w:pPr>
      <w:r>
        <w:rPr>
          <w:rFonts w:hint="eastAsia" w:ascii="仿宋" w:hAnsi="仿宋" w:eastAsia="仿宋" w:cs="仿宋"/>
          <w:sz w:val="24"/>
          <w:highlight w:val="none"/>
        </w:rPr>
        <w:t>验收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06E98E81">
      <w:pPr>
        <w:numPr>
          <w:ilvl w:val="255"/>
          <w:numId w:val="0"/>
        </w:numPr>
        <w:spacing w:line="560" w:lineRule="exact"/>
        <w:ind w:left="0" w:firstLine="482" w:firstLineChars="200"/>
        <w:rPr>
          <w:rFonts w:hint="eastAsia" w:ascii="仿宋" w:hAnsi="仿宋" w:eastAsia="仿宋"/>
          <w:sz w:val="24"/>
          <w:szCs w:val="24"/>
          <w:highlight w:val="none"/>
        </w:rPr>
      </w:pPr>
      <w:r>
        <w:rPr>
          <w:rFonts w:hint="eastAsia" w:ascii="仿宋" w:hAnsi="仿宋" w:eastAsia="仿宋"/>
          <w:b/>
          <w:bCs/>
          <w:sz w:val="24"/>
          <w:szCs w:val="24"/>
          <w:highlight w:val="none"/>
        </w:rPr>
        <w:t>4.交货地点、交货人员、交货期限</w:t>
      </w:r>
      <w:r>
        <w:rPr>
          <w:rFonts w:hint="eastAsia" w:ascii="仿宋" w:hAnsi="仿宋" w:eastAsia="仿宋"/>
          <w:sz w:val="24"/>
          <w:szCs w:val="24"/>
          <w:highlight w:val="none"/>
        </w:rPr>
        <w:t xml:space="preserve"> </w:t>
      </w:r>
    </w:p>
    <w:p w14:paraId="490CA588">
      <w:pPr>
        <w:numPr>
          <w:ilvl w:val="255"/>
          <w:numId w:val="0"/>
        </w:numPr>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4.1交货地点：</w:t>
      </w:r>
      <w:r>
        <w:rPr>
          <w:rFonts w:hint="eastAsia" w:ascii="仿宋" w:hAnsi="仿宋" w:eastAsia="仿宋" w:cs="仿宋"/>
          <w:color w:val="000000"/>
          <w:sz w:val="24"/>
          <w:highlight w:val="none"/>
        </w:rPr>
        <w:t>甲方指定交货地点：</w:t>
      </w:r>
      <w:r>
        <w:rPr>
          <w:rFonts w:hint="eastAsia" w:ascii="仿宋" w:hAnsi="仿宋" w:eastAsia="仿宋" w:cs="Times New Roman"/>
          <w:snapToGrid/>
          <w:color w:val="auto"/>
          <w:spacing w:val="0"/>
          <w:kern w:val="2"/>
          <w:sz w:val="24"/>
          <w:szCs w:val="24"/>
          <w:highlight w:val="none"/>
        </w:rPr>
        <w:t>洋浦开发区</w:t>
      </w:r>
      <w:r>
        <w:rPr>
          <w:rFonts w:hint="eastAsia" w:ascii="仿宋" w:hAnsi="仿宋" w:eastAsia="仿宋"/>
          <w:sz w:val="24"/>
          <w:szCs w:val="24"/>
          <w:highlight w:val="none"/>
        </w:rPr>
        <w:t>或</w:t>
      </w:r>
      <w:r>
        <w:rPr>
          <w:rFonts w:hint="eastAsia" w:ascii="仿宋" w:hAnsi="仿宋" w:eastAsia="仿宋" w:cs="Times New Roman"/>
          <w:snapToGrid/>
          <w:color w:val="auto"/>
          <w:spacing w:val="0"/>
          <w:kern w:val="2"/>
          <w:sz w:val="24"/>
          <w:szCs w:val="24"/>
          <w:highlight w:val="none"/>
        </w:rPr>
        <w:t>儋州东成镇项目所在地</w:t>
      </w:r>
      <w:r>
        <w:rPr>
          <w:rFonts w:hint="eastAsia" w:ascii="仿宋" w:hAnsi="仿宋" w:eastAsia="仿宋"/>
          <w:sz w:val="24"/>
          <w:szCs w:val="24"/>
          <w:highlight w:val="none"/>
        </w:rPr>
        <w:t>。</w:t>
      </w:r>
    </w:p>
    <w:p w14:paraId="053734DE">
      <w:pPr>
        <w:numPr>
          <w:ilvl w:val="255"/>
          <w:numId w:val="0"/>
        </w:numPr>
        <w:spacing w:line="560" w:lineRule="exact"/>
        <w:ind w:left="0" w:firstLine="0"/>
        <w:rPr>
          <w:rFonts w:hint="eastAsia" w:ascii="仿宋" w:hAnsi="仿宋" w:eastAsia="仿宋"/>
          <w:sz w:val="24"/>
          <w:szCs w:val="24"/>
          <w:highlight w:val="none"/>
        </w:rPr>
      </w:pPr>
      <w:r>
        <w:rPr>
          <w:rFonts w:hint="eastAsia" w:ascii="仿宋" w:hAnsi="仿宋" w:eastAsia="仿宋"/>
          <w:sz w:val="24"/>
          <w:szCs w:val="24"/>
          <w:highlight w:val="none"/>
        </w:rPr>
        <w:t>乙方按甲方的供货通知所要求的规格、数量，供应甲方合同明细中要求的物资。</w:t>
      </w:r>
    </w:p>
    <w:p w14:paraId="313E0285">
      <w:pPr>
        <w:numPr>
          <w:ilvl w:val="255"/>
          <w:numId w:val="0"/>
        </w:numPr>
        <w:spacing w:line="560" w:lineRule="exact"/>
        <w:ind w:left="0" w:firstLine="0"/>
        <w:rPr>
          <w:rFonts w:hint="eastAsia" w:ascii="仿宋" w:hAnsi="仿宋" w:eastAsia="仿宋"/>
          <w:sz w:val="24"/>
          <w:szCs w:val="24"/>
          <w:highlight w:val="none"/>
        </w:rPr>
      </w:pPr>
      <w:r>
        <w:rPr>
          <w:rFonts w:hint="eastAsia" w:ascii="仿宋" w:hAnsi="仿宋" w:eastAsia="仿宋"/>
          <w:sz w:val="24"/>
          <w:szCs w:val="24"/>
          <w:highlight w:val="none"/>
        </w:rPr>
        <w:t>4.2甲方指定收货人员姓名：符卓强、王秋燕、符永斌，联系电话:</w:t>
      </w:r>
      <w:r>
        <w:rPr>
          <w:rFonts w:hint="eastAsia" w:ascii="仿宋" w:hAnsi="仿宋" w:eastAsia="仿宋"/>
          <w:sz w:val="24"/>
          <w:szCs w:val="24"/>
          <w:highlight w:val="none"/>
          <w:u w:val="single"/>
        </w:rPr>
        <w:t>18889992881、15808942703、18389272329</w:t>
      </w:r>
      <w:r>
        <w:rPr>
          <w:rFonts w:hint="eastAsia" w:ascii="仿宋" w:hAnsi="仿宋" w:eastAsia="仿宋"/>
          <w:sz w:val="24"/>
          <w:szCs w:val="24"/>
          <w:highlight w:val="none"/>
        </w:rPr>
        <w:t>负责签字验收；乙方指定送货人员姓名： ，联系电话: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。任一方如要求变更上述人员及相关信息的，应在送货、交货前书面通知另一方，该通知函件作为本合同的补充条款，非合同约定人员签字的货单，不作为双方结算的依据。  </w:t>
      </w:r>
    </w:p>
    <w:p w14:paraId="71735EC3">
      <w:pPr>
        <w:numPr>
          <w:ilvl w:val="255"/>
          <w:numId w:val="0"/>
        </w:numPr>
        <w:spacing w:line="560" w:lineRule="exact"/>
        <w:ind w:left="0" w:firstLine="0"/>
        <w:rPr>
          <w:rFonts w:hint="eastAsia" w:ascii="仿宋" w:hAnsi="仿宋" w:eastAsia="仿宋"/>
          <w:sz w:val="24"/>
          <w:szCs w:val="24"/>
          <w:highlight w:val="none"/>
        </w:rPr>
      </w:pP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4.3交货日期：乙方收到订单后72小时内将货物送达该项目指定地点。</w:t>
      </w:r>
    </w:p>
    <w:p w14:paraId="72075825">
      <w:pPr>
        <w:numPr>
          <w:ilvl w:val="255"/>
          <w:numId w:val="0"/>
        </w:numPr>
        <w:spacing w:line="560" w:lineRule="exact"/>
        <w:ind w:left="0" w:firstLine="482" w:firstLineChars="200"/>
        <w:rPr>
          <w:rFonts w:hint="eastAsia" w:ascii="仿宋" w:hAnsi="仿宋" w:eastAsia="仿宋"/>
          <w:b/>
          <w:bCs/>
          <w:sz w:val="24"/>
          <w:szCs w:val="24"/>
          <w:highlight w:val="none"/>
        </w:rPr>
      </w:pPr>
      <w:r>
        <w:rPr>
          <w:rFonts w:hint="eastAsia" w:ascii="仿宋" w:hAnsi="仿宋" w:eastAsia="仿宋"/>
          <w:b/>
          <w:bCs/>
          <w:sz w:val="24"/>
          <w:szCs w:val="24"/>
          <w:highlight w:val="none"/>
        </w:rPr>
        <w:t>5.货款的结算及支付方式</w:t>
      </w:r>
    </w:p>
    <w:p w14:paraId="1ECD86A5">
      <w:pPr>
        <w:numPr>
          <w:ilvl w:val="255"/>
          <w:numId w:val="0"/>
        </w:numPr>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5.1计量方式：按实计量，以乙方过磅的出场单据作为结算凭证</w:t>
      </w:r>
      <w:r>
        <w:rPr>
          <w:rFonts w:hint="eastAsia" w:ascii="仿宋" w:hAnsi="仿宋" w:eastAsia="仿宋" w:cs="仿宋"/>
          <w:sz w:val="24"/>
          <w:szCs w:val="24"/>
          <w:highlight w:val="none"/>
        </w:rPr>
        <w:t>。</w:t>
      </w:r>
    </w:p>
    <w:p w14:paraId="4DB31D84">
      <w:pPr>
        <w:numPr>
          <w:ilvl w:val="255"/>
          <w:numId w:val="0"/>
        </w:numPr>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5.2结算方式：</w:t>
      </w:r>
      <w:r>
        <w:rPr>
          <w:rFonts w:hint="eastAsia" w:ascii="仿宋" w:hAnsi="仿宋" w:eastAsia="仿宋" w:cs="仿宋"/>
          <w:color w:val="000000"/>
          <w:sz w:val="24"/>
          <w:szCs w:val="24"/>
          <w:highlight w:val="none"/>
        </w:rPr>
        <w:t>周结，每个自然周为一个结算周期。自然周结束后5日内双方就供应合格物资对账结算；对账结算完毕，乙方立即提交对应金额的增值税专用发票，甲方收到发票后5个工作日内支付当周结算物资价款的100%。</w:t>
      </w:r>
      <w:r>
        <w:rPr>
          <w:rFonts w:hint="eastAsia" w:ascii="仿宋" w:hAnsi="仿宋" w:eastAsia="仿宋"/>
          <w:sz w:val="24"/>
          <w:szCs w:val="24"/>
          <w:highlight w:val="none"/>
        </w:rPr>
        <w:t>(如甲方采用银行承兑汇票的支付方式，银行承兑汇票贴现利息由甲方承担)</w:t>
      </w:r>
    </w:p>
    <w:p w14:paraId="6B8025EB">
      <w:pPr>
        <w:numPr>
          <w:ilvl w:val="255"/>
          <w:numId w:val="0"/>
        </w:numPr>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5.3乙方指定收款账户：</w:t>
      </w:r>
    </w:p>
    <w:p w14:paraId="2E3BA7D3">
      <w:pPr>
        <w:spacing w:line="560" w:lineRule="exact"/>
        <w:ind w:left="153" w:hanging="119"/>
        <w:rPr>
          <w:rFonts w:hint="eastAsia" w:ascii="仿宋" w:hAnsi="仿宋" w:eastAsia="仿宋"/>
          <w:sz w:val="24"/>
          <w:highlight w:val="none"/>
          <w:lang w:val="zh-CN" w:bidi="zh-CN"/>
        </w:rPr>
      </w:pPr>
      <w:r>
        <w:rPr>
          <w:rFonts w:hint="eastAsia" w:ascii="仿宋" w:hAnsi="仿宋" w:eastAsia="仿宋"/>
          <w:sz w:val="24"/>
          <w:highlight w:val="none"/>
          <w:lang w:val="zh-CN" w:bidi="zh-CN"/>
        </w:rPr>
        <w:t>名    称：</w:t>
      </w:r>
    </w:p>
    <w:p w14:paraId="41A22271">
      <w:pPr>
        <w:spacing w:line="560" w:lineRule="exact"/>
        <w:ind w:left="153" w:hanging="119"/>
        <w:rPr>
          <w:rFonts w:hint="eastAsia" w:ascii="仿宋" w:hAnsi="仿宋" w:eastAsia="仿宋"/>
          <w:sz w:val="24"/>
          <w:highlight w:val="none"/>
          <w:lang w:val="zh-CN" w:bidi="zh-CN"/>
        </w:rPr>
      </w:pPr>
      <w:r>
        <w:rPr>
          <w:rFonts w:hint="eastAsia" w:ascii="仿宋" w:hAnsi="仿宋" w:eastAsia="仿宋"/>
          <w:sz w:val="24"/>
          <w:highlight w:val="none"/>
          <w:lang w:val="zh-CN" w:bidi="zh-CN"/>
        </w:rPr>
        <w:t>开 户 行：</w:t>
      </w:r>
    </w:p>
    <w:p w14:paraId="04102C43">
      <w:pPr>
        <w:spacing w:line="560" w:lineRule="exact"/>
        <w:ind w:left="153" w:hanging="119"/>
        <w:rPr>
          <w:rFonts w:hint="eastAsia" w:ascii="仿宋" w:hAnsi="仿宋" w:eastAsia="仿宋"/>
          <w:sz w:val="24"/>
          <w:highlight w:val="none"/>
          <w:lang w:bidi="zh-CN"/>
        </w:rPr>
      </w:pPr>
      <w:r>
        <w:rPr>
          <w:rFonts w:hint="eastAsia" w:ascii="仿宋" w:hAnsi="仿宋" w:eastAsia="仿宋"/>
          <w:sz w:val="24"/>
          <w:highlight w:val="none"/>
          <w:lang w:val="zh-CN" w:bidi="zh-CN"/>
        </w:rPr>
        <w:t>账    号：</w:t>
      </w:r>
    </w:p>
    <w:p w14:paraId="7B7EA655">
      <w:pPr>
        <w:numPr>
          <w:ilvl w:val="255"/>
          <w:numId w:val="0"/>
        </w:numPr>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5.4甲方开票信息：</w:t>
      </w:r>
    </w:p>
    <w:p w14:paraId="44BFFA39">
      <w:pPr>
        <w:spacing w:line="560" w:lineRule="exact"/>
        <w:rPr>
          <w:rFonts w:hint="eastAsia" w:ascii="仿宋" w:hAnsi="仿宋" w:eastAsia="仿宋"/>
          <w:sz w:val="24"/>
          <w:szCs w:val="24"/>
          <w:highlight w:val="none"/>
        </w:rPr>
      </w:pPr>
      <w:r>
        <w:rPr>
          <w:rFonts w:hint="eastAsia" w:ascii="仿宋" w:hAnsi="仿宋" w:eastAsia="仿宋"/>
          <w:highlight w:val="none"/>
        </w:rPr>
        <w:t>名</w:t>
      </w:r>
      <w:r>
        <w:rPr>
          <w:rFonts w:hint="eastAsia" w:ascii="仿宋" w:hAnsi="仿宋" w:eastAsia="仿宋"/>
          <w:sz w:val="24"/>
          <w:szCs w:val="24"/>
          <w:highlight w:val="none"/>
        </w:rPr>
        <w:t xml:space="preserve">    称：海南洋浦陆海能源发展有限公司</w:t>
      </w:r>
    </w:p>
    <w:p w14:paraId="13EF338D">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纳税人识别号：91460000MABU89U388</w:t>
      </w:r>
    </w:p>
    <w:p w14:paraId="5A996FB4">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营业地址：洋浦保税港区远洋路3号办公楼2单元3A02房</w:t>
      </w:r>
    </w:p>
    <w:p w14:paraId="4B5F312B">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电    话：0898-28816705</w:t>
      </w:r>
    </w:p>
    <w:p w14:paraId="1DEE243A">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开 户 行：海南银行股份有限公司洋浦支行</w:t>
      </w:r>
    </w:p>
    <w:p w14:paraId="53F0843C">
      <w:pPr>
        <w:spacing w:line="560" w:lineRule="exact"/>
        <w:rPr>
          <w:rFonts w:hint="eastAsia" w:ascii="仿宋" w:hAnsi="仿宋" w:eastAsia="仿宋"/>
          <w:sz w:val="24"/>
          <w:szCs w:val="24"/>
          <w:highlight w:val="none"/>
        </w:rPr>
      </w:pPr>
      <w:r>
        <w:rPr>
          <w:rFonts w:hint="eastAsia" w:ascii="仿宋" w:hAnsi="仿宋" w:eastAsia="仿宋"/>
          <w:sz w:val="24"/>
          <w:szCs w:val="24"/>
          <w:highlight w:val="none"/>
        </w:rPr>
        <w:t>银行账号：6005178800010</w:t>
      </w:r>
    </w:p>
    <w:p w14:paraId="4D0DD05B">
      <w:pPr>
        <w:numPr>
          <w:ilvl w:val="255"/>
          <w:numId w:val="0"/>
        </w:numPr>
        <w:spacing w:line="560" w:lineRule="exact"/>
        <w:ind w:left="0" w:firstLine="482" w:firstLineChars="200"/>
        <w:rPr>
          <w:rFonts w:hint="eastAsia" w:ascii="仿宋" w:hAnsi="仿宋" w:eastAsia="仿宋"/>
          <w:b/>
          <w:bCs/>
          <w:sz w:val="24"/>
          <w:szCs w:val="24"/>
          <w:highlight w:val="none"/>
        </w:rPr>
      </w:pPr>
      <w:r>
        <w:rPr>
          <w:rFonts w:hint="eastAsia" w:ascii="仿宋" w:hAnsi="仿宋" w:eastAsia="仿宋"/>
          <w:b/>
          <w:bCs/>
          <w:sz w:val="24"/>
          <w:szCs w:val="24"/>
          <w:highlight w:val="none"/>
        </w:rPr>
        <w:t>6.违约责任</w:t>
      </w:r>
    </w:p>
    <w:p w14:paraId="25FF15BE">
      <w:pPr>
        <w:numPr>
          <w:ilvl w:val="255"/>
          <w:numId w:val="0"/>
        </w:numPr>
        <w:autoSpaceDE w:val="0"/>
        <w:spacing w:line="560" w:lineRule="exact"/>
        <w:ind w:left="0"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6.1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w:t>
      </w:r>
      <w:r>
        <w:rPr>
          <w:rFonts w:hint="eastAsia" w:ascii="仿宋" w:hAnsi="仿宋" w:eastAsia="仿宋" w:cs="仿宋"/>
          <w:sz w:val="24"/>
          <w:highlight w:val="none"/>
        </w:rPr>
        <w:t>因乙方延迟供货3天以上，则甲方可另行选择第三方完成供应，乙方除须承担违约责任外，还需承担甲方因选择第三方而额外多支付的费用。</w:t>
      </w:r>
      <w:r>
        <w:rPr>
          <w:rFonts w:hint="eastAsia" w:ascii="仿宋" w:hAnsi="仿宋" w:eastAsia="仿宋"/>
          <w:sz w:val="24"/>
          <w:szCs w:val="24"/>
          <w:highlight w:val="none"/>
        </w:rPr>
        <w:t>若出现此类情况两次，则甲方可当方解除合同。</w:t>
      </w:r>
      <w:r>
        <w:rPr>
          <w:rFonts w:hint="eastAsia" w:ascii="仿宋" w:hAnsi="仿宋" w:eastAsia="仿宋" w:cs="仿宋"/>
          <w:sz w:val="24"/>
          <w:szCs w:val="24"/>
          <w:highlight w:val="none"/>
        </w:rPr>
        <w:t>乙方不得因甲方未按期付款而停止供应，如因停止供应造成的损失参照乙方延期供应违约责任执行。</w:t>
      </w:r>
    </w:p>
    <w:p w14:paraId="45F1D5F7">
      <w:pPr>
        <w:numPr>
          <w:ilvl w:val="255"/>
          <w:numId w:val="0"/>
        </w:numPr>
        <w:spacing w:line="510" w:lineRule="exact"/>
        <w:ind w:left="0" w:firstLine="480" w:firstLineChars="200"/>
        <w:rPr>
          <w:rFonts w:hint="eastAsia" w:ascii="仿宋" w:hAnsi="仿宋" w:eastAsia="仿宋" w:cs="仿宋"/>
          <w:color w:val="000000"/>
          <w:sz w:val="24"/>
          <w:highlight w:val="none"/>
        </w:rPr>
      </w:pPr>
      <w:r>
        <w:rPr>
          <w:rFonts w:hint="eastAsia" w:ascii="仿宋" w:hAnsi="仿宋" w:eastAsia="仿宋"/>
          <w:sz w:val="24"/>
          <w:szCs w:val="24"/>
          <w:highlight w:val="none"/>
        </w:rPr>
        <w:t>6.2</w:t>
      </w:r>
      <w:r>
        <w:rPr>
          <w:rFonts w:hint="eastAsia" w:ascii="仿宋" w:hAnsi="仿宋" w:eastAsia="仿宋" w:cs="仿宋"/>
          <w:color w:val="000000"/>
          <w:sz w:val="24"/>
          <w:highlight w:val="none"/>
        </w:rPr>
        <w:t>本合同所采购与供应的物资，在进场验收过程中出现品牌规格数量不符、单据丢失、物资质量不达标等问题，甲方可按下列条款中的一条或多条向乙方主张权利：</w:t>
      </w:r>
    </w:p>
    <w:p w14:paraId="69AA4A8E">
      <w:pPr>
        <w:spacing w:line="51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sz w:val="24"/>
          <w:highlight w:val="none"/>
        </w:rPr>
        <w:t>甲方有权拒收物资，乙方应把被拒收物资的预付货款返还甲方。</w:t>
      </w:r>
    </w:p>
    <w:p w14:paraId="44FB2405">
      <w:pPr>
        <w:spacing w:line="51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（2）要求乙方承担退货过程中发生的一切损失和费用，包括利息、银行费用、运输和保险费、检验费、仓储和装卸费以及为保管和保护退货货物所需的其它费用。</w:t>
      </w:r>
    </w:p>
    <w:p w14:paraId="71A1A603">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乙方出现单据丢失等情况，则甲方对乙方每次处以500元人民币的违约金，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616AA4E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（4）若出现规格数量不符的情况，</w:t>
      </w:r>
      <w:r>
        <w:rPr>
          <w:rFonts w:hint="eastAsia" w:ascii="仿宋" w:hAnsi="仿宋" w:eastAsia="仿宋" w:cs="仿宋"/>
          <w:color w:val="000000" w:themeColor="text1"/>
          <w:sz w:val="24"/>
          <w:highlight w:val="none"/>
          <w14:textFill>
            <w14:solidFill>
              <w14:schemeClr w14:val="tx1"/>
            </w14:solidFill>
          </w14:textFill>
        </w:rPr>
        <w:t>甲方有权要求乙方在3日内补足所要求规格或数量的物资，同时</w:t>
      </w:r>
      <w:r>
        <w:rPr>
          <w:rFonts w:hint="eastAsia" w:ascii="仿宋" w:hAnsi="仿宋" w:eastAsia="仿宋" w:cs="仿宋"/>
          <w:sz w:val="24"/>
          <w:highlight w:val="none"/>
        </w:rPr>
        <w:t>甲方对乙方每次处以1000元人民币的违约金；因规格数量不符且处理时间超过3天，则甲方可另行选择第三方完成供应，乙方除须承担违约责任外，还需承担甲方因选择第三方而额外多支付的费用。若因此类情况导致工期出现延误的，导致甲方遭受损失，甲方有权要求乙方按照当批次货价20%支付违约金，并赔偿由此遭受的全部损失；若出现此类情况两次，则甲方可单方解除合同。</w:t>
      </w:r>
    </w:p>
    <w:p w14:paraId="5344BCEE">
      <w:pPr>
        <w:widowControl/>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5）若出现质量不合格或随机抽检不合格的产品，甲方有权邀请具有检测资质的检测机构进行全面检验，并出具检验证书，若证实乙方所供物资不符合要求，甲方可要求乙方按照如下规则进行处罚：乙方第一次出现质量问题按照500元/车次的标准向甲方支付违约金，乙方第二次出现质量问题按照1000元/车次的标准向甲方支付违约金；若因此类情况导致工期出现延误的，导致甲方遭受损失，甲方有权要求乙方按照当批次货价20%支付违约金，并赔偿由此遭受的全部损失；若出现质量问题两次，则甲方可单方解除合同；      </w:t>
      </w:r>
    </w:p>
    <w:p w14:paraId="0F10EB34">
      <w:pPr>
        <w:widowControl/>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另外，乙方需在事情发生后</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天内更换有缺陷的物资，以达到合同约定的质量和性能，若不能及时更换，则乙方需按照500元/天的标准支付违约金，且乙方承担一切费用和风险，同时相应延长被更换物资的质量保证期，因质量不合格，且处理时间超过3天，则甲方可另行选择第三方完成供应，乙方除须承担违约责任外，还需承担甲方因选择第三方而额外多支付的费用。若拖延调换时间超过3天或者出现拖延更换货物的情况两次以上的，乙方可以据此解除合同。</w:t>
      </w:r>
    </w:p>
    <w:p w14:paraId="171BDD38">
      <w:pPr>
        <w:numPr>
          <w:ilvl w:val="255"/>
          <w:numId w:val="0"/>
        </w:numPr>
        <w:spacing w:line="520" w:lineRule="exact"/>
        <w:ind w:left="0" w:firstLine="480" w:firstLineChars="200"/>
        <w:rPr>
          <w:highlight w:val="none"/>
        </w:rPr>
      </w:pPr>
      <w:r>
        <w:rPr>
          <w:rFonts w:hint="eastAsia" w:ascii="仿宋" w:hAnsi="仿宋" w:eastAsia="仿宋" w:cs="仿宋"/>
          <w:sz w:val="24"/>
          <w:highlight w:val="none"/>
        </w:rPr>
        <w:t>6.3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w:t>
      </w:r>
      <w:r>
        <w:rPr>
          <w:rFonts w:hint="eastAsia" w:ascii="仿宋" w:hAnsi="仿宋" w:eastAsia="仿宋" w:cs="仿宋"/>
          <w:color w:val="000000" w:themeColor="text1"/>
          <w:sz w:val="24"/>
          <w:highlight w:val="none"/>
          <w14:textFill>
            <w14:solidFill>
              <w14:schemeClr w14:val="tx1"/>
            </w14:solidFill>
          </w14:textFill>
        </w:rPr>
        <w:t>乙方应予理解，</w:t>
      </w:r>
      <w:r>
        <w:rPr>
          <w:rFonts w:hint="eastAsia" w:ascii="仿宋" w:hAnsi="仿宋" w:eastAsia="仿宋" w:cs="仿宋"/>
          <w:sz w:val="24"/>
          <w:highlight w:val="none"/>
        </w:rPr>
        <w:t>甲方</w:t>
      </w:r>
      <w:r>
        <w:rPr>
          <w:rFonts w:hint="eastAsia" w:ascii="仿宋" w:hAnsi="仿宋" w:eastAsia="仿宋" w:cs="仿宋"/>
          <w:color w:val="000000" w:themeColor="text1"/>
          <w:sz w:val="24"/>
          <w:highlight w:val="none"/>
          <w14:textFill>
            <w14:solidFill>
              <w14:schemeClr w14:val="tx1"/>
            </w14:solidFill>
          </w14:textFill>
        </w:rPr>
        <w:t>不因此承担</w:t>
      </w:r>
      <w:r>
        <w:rPr>
          <w:rFonts w:hint="eastAsia" w:ascii="仿宋" w:hAnsi="仿宋" w:eastAsia="仿宋" w:cs="仿宋"/>
          <w:sz w:val="24"/>
          <w:highlight w:val="none"/>
        </w:rPr>
        <w:t>逾期付款违约责任，且甲方不承担逾期付款的利息。</w:t>
      </w:r>
    </w:p>
    <w:p w14:paraId="23027115">
      <w:pPr>
        <w:pStyle w:val="4"/>
        <w:widowControl/>
        <w:spacing w:after="0" w:line="520" w:lineRule="exact"/>
        <w:ind w:firstLine="482" w:firstLineChars="200"/>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6.4在产品质保期内，如果产品出现问题，在甲方将问题反馈至乙方后，乙方需在收到甲方反馈后三日内完成问题回复、产品维修、产品更换并确保上述问题得以解决，如果出现逾期处理的情况，则按照每天1000元或者按照质保金5%比例（按照二者孰高的原则进行确定）对质保金进行扣除。若乙方逾期处理的时间超过三天，则甲方可另行选择第三方进行处理，乙方除须承担违约责任外，还需承担甲方因选择第三方而额外多支付的费用。</w:t>
      </w:r>
    </w:p>
    <w:p w14:paraId="2FB8EDE6">
      <w:pPr>
        <w:spacing w:line="520" w:lineRule="exact"/>
        <w:ind w:firstLine="480" w:firstLineChars="200"/>
        <w:rPr>
          <w:highlight w:val="none"/>
        </w:rPr>
      </w:pPr>
      <w:r>
        <w:rPr>
          <w:rFonts w:hint="eastAsia" w:ascii="仿宋" w:hAnsi="仿宋" w:eastAsia="仿宋" w:cs="仿宋"/>
          <w:color w:val="000000"/>
          <w:sz w:val="24"/>
          <w:highlight w:val="none"/>
        </w:rPr>
        <w:t>6.5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648B5E07">
      <w:pPr>
        <w:spacing w:line="52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6.6若因项目业主原因，导致材料无法进行供应且甲方未正式通知乙方开始合同执行（甲方向乙方正式下订单）前，则甲方据此可单方面解除合同，甲方不向乙方承担任何违约责任、赔偿责任，且不支付任何费用。已经支付相关费用的，乙方应全部退还。</w:t>
      </w:r>
    </w:p>
    <w:p w14:paraId="51A32BB4">
      <w:pPr>
        <w:numPr>
          <w:ilvl w:val="255"/>
          <w:numId w:val="0"/>
        </w:numPr>
        <w:spacing w:line="520" w:lineRule="exact"/>
        <w:ind w:left="0"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7.争议解决</w:t>
      </w:r>
    </w:p>
    <w:p w14:paraId="7BD06736">
      <w:pPr>
        <w:numPr>
          <w:ilvl w:val="255"/>
          <w:numId w:val="0"/>
        </w:numPr>
        <w:spacing w:line="520" w:lineRule="exact"/>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因本合同（协议）引起的一切争议， 由双方当事人协商解决；协商不成，双方将争议提交甲方所在地人民法院解决。</w:t>
      </w:r>
    </w:p>
    <w:p w14:paraId="7F69FE58">
      <w:pPr>
        <w:numPr>
          <w:ilvl w:val="255"/>
          <w:numId w:val="0"/>
        </w:numPr>
        <w:spacing w:line="520" w:lineRule="exact"/>
        <w:ind w:left="420" w:leftChars="200" w:firstLine="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8.通知及送达</w:t>
      </w:r>
      <w:r>
        <w:rPr>
          <w:rFonts w:hint="eastAsia" w:ascii="仿宋" w:hAnsi="仿宋" w:eastAsia="仿宋" w:cs="仿宋"/>
          <w:color w:val="000000"/>
          <w:sz w:val="24"/>
          <w:highlight w:val="none"/>
        </w:rPr>
        <w:t>8.1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204F60D2">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甲方</w:t>
      </w:r>
    </w:p>
    <w:p w14:paraId="20420CAB">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p>
    <w:p w14:paraId="20ECAE53">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联系电话：                </w:t>
      </w:r>
    </w:p>
    <w:p w14:paraId="32E87474">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联系邮箱：                 </w:t>
      </w:r>
    </w:p>
    <w:p w14:paraId="1AC858DD">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联系地址： 海南省儋州市洋浦经济开发区洋浦国际商业大厦305室             </w:t>
      </w:r>
    </w:p>
    <w:p w14:paraId="1305DE25">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w:t>
      </w:r>
    </w:p>
    <w:p w14:paraId="6327EC55">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p>
    <w:p w14:paraId="0DA2703E">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联系电话：               </w:t>
      </w:r>
    </w:p>
    <w:p w14:paraId="2BB8BB90">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联系邮箱：                </w:t>
      </w:r>
    </w:p>
    <w:p w14:paraId="69005043">
      <w:pPr>
        <w:spacing w:line="52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联系地址： </w:t>
      </w:r>
    </w:p>
    <w:p w14:paraId="4C140915">
      <w:pPr>
        <w:numPr>
          <w:ilvl w:val="255"/>
          <w:numId w:val="0"/>
        </w:numPr>
        <w:spacing w:line="520" w:lineRule="exact"/>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8.2任何一方变更本合同所示的项目联系人及联系方式，应提前3日书面通知对方。否则对方有权依据本合同载明的联络信息进行联系，且视为送达。 </w:t>
      </w:r>
    </w:p>
    <w:p w14:paraId="37AD564D">
      <w:pPr>
        <w:numPr>
          <w:ilvl w:val="255"/>
          <w:numId w:val="0"/>
        </w:numPr>
        <w:spacing w:line="520" w:lineRule="exact"/>
        <w:ind w:left="0"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9.其他约定事项</w:t>
      </w:r>
    </w:p>
    <w:p w14:paraId="0FD4A27D">
      <w:pPr>
        <w:numPr>
          <w:ilvl w:val="255"/>
          <w:numId w:val="0"/>
        </w:numPr>
        <w:spacing w:line="520" w:lineRule="exact"/>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9.1双方往来均以书面形式（指合同书、函件、传真）为准。 </w:t>
      </w:r>
    </w:p>
    <w:p w14:paraId="6B6A5911">
      <w:pPr>
        <w:numPr>
          <w:ilvl w:val="255"/>
          <w:numId w:val="0"/>
        </w:numPr>
        <w:spacing w:line="520" w:lineRule="exact"/>
        <w:ind w:left="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9.2询价文件与报价文件为本合同的组成部分，本合同中未有约定而双方在招投标文件及中标文件中达成一致之事项，按招投标文件及中标文件执行。同一事项招投标文件条款及中标文件与本合同约定内容不一致的，以本合同约定为准。</w:t>
      </w:r>
    </w:p>
    <w:p w14:paraId="69E7E233">
      <w:pPr>
        <w:numPr>
          <w:ilvl w:val="255"/>
          <w:numId w:val="0"/>
        </w:numPr>
        <w:spacing w:line="520" w:lineRule="exact"/>
        <w:ind w:left="0" w:firstLine="480" w:firstLineChars="200"/>
        <w:rPr>
          <w:highlight w:val="none"/>
        </w:rPr>
      </w:pPr>
      <w:r>
        <w:rPr>
          <w:rFonts w:hint="eastAsia" w:ascii="仿宋" w:hAnsi="仿宋" w:eastAsia="仿宋" w:cs="仿宋"/>
          <w:sz w:val="24"/>
          <w:highlight w:val="none"/>
        </w:rPr>
        <w:t>9.3本合同经双方加盖公章后生效，有效期至合同履约完毕货、款两清后自动终止 ；本合同未尽事宜，由甲乙双方另行协商并签订补充协议。本合同一式肆份，甲方贰份，乙方贰份</w:t>
      </w:r>
      <w:r>
        <w:rPr>
          <w:rFonts w:hint="eastAsia" w:ascii="仿宋" w:hAnsi="仿宋" w:eastAsia="仿宋" w:cs="仿宋"/>
          <w:color w:val="000000" w:themeColor="text1"/>
          <w:sz w:val="24"/>
          <w:highlight w:val="none"/>
          <w14:textFill>
            <w14:solidFill>
              <w14:schemeClr w14:val="tx1"/>
            </w14:solidFill>
          </w14:textFill>
        </w:rPr>
        <w:t>，均具有同等法律效力</w:t>
      </w:r>
      <w:r>
        <w:rPr>
          <w:rFonts w:hint="eastAsia" w:ascii="仿宋" w:hAnsi="仿宋" w:eastAsia="仿宋" w:cs="仿宋"/>
          <w:sz w:val="24"/>
          <w:highlight w:val="none"/>
        </w:rPr>
        <w:t>。</w:t>
      </w:r>
    </w:p>
    <w:p w14:paraId="7FDDB6A2">
      <w:pPr>
        <w:pStyle w:val="9"/>
        <w:spacing w:line="360" w:lineRule="auto"/>
        <w:rPr>
          <w:rFonts w:hint="eastAsia" w:ascii="仿宋" w:hAnsi="仿宋" w:eastAsia="仿宋"/>
          <w:color w:val="000000"/>
          <w:sz w:val="24"/>
          <w:szCs w:val="24"/>
          <w:highlight w:val="none"/>
        </w:rPr>
      </w:pPr>
      <w:r>
        <w:rPr>
          <w:rFonts w:hint="eastAsia" w:ascii="仿宋" w:hAnsi="仿宋" w:eastAsia="仿宋" w:cs="仿宋"/>
          <w:color w:val="000000"/>
          <w:sz w:val="24"/>
          <w:szCs w:val="24"/>
          <w:highlight w:val="none"/>
        </w:rPr>
        <w:t xml:space="preserve">甲方（盖章）：                      </w:t>
      </w:r>
      <w:r>
        <w:rPr>
          <w:rFonts w:hint="eastAsia" w:ascii="仿宋" w:hAnsi="仿宋" w:eastAsia="仿宋"/>
          <w:color w:val="000000"/>
          <w:sz w:val="24"/>
          <w:szCs w:val="24"/>
          <w:highlight w:val="none"/>
        </w:rPr>
        <w:t xml:space="preserve">乙方（盖章）：                </w:t>
      </w:r>
    </w:p>
    <w:p w14:paraId="77B46B92">
      <w:pPr>
        <w:pStyle w:val="9"/>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签署日期：</w:t>
      </w:r>
      <w:r>
        <w:rPr>
          <w:rFonts w:hint="eastAsia" w:ascii="仿宋" w:hAnsi="仿宋" w:eastAsia="仿宋"/>
          <w:color w:val="000000"/>
          <w:sz w:val="24"/>
          <w:szCs w:val="24"/>
          <w:highlight w:val="none"/>
          <w:u w:val="single"/>
        </w:rPr>
        <w:t>2024</w:t>
      </w:r>
      <w:r>
        <w:rPr>
          <w:rFonts w:hint="eastAsia" w:ascii="仿宋" w:hAnsi="仿宋" w:eastAsia="仿宋"/>
          <w:color w:val="000000"/>
          <w:sz w:val="24"/>
          <w:szCs w:val="24"/>
          <w:highlight w:val="none"/>
        </w:rPr>
        <w:t>年</w:t>
      </w:r>
      <w:r>
        <w:rPr>
          <w:rFonts w:hint="eastAsia" w:ascii="仿宋" w:hAnsi="仿宋" w:eastAsia="仿宋"/>
          <w:color w:val="000000"/>
          <w:sz w:val="24"/>
          <w:szCs w:val="24"/>
          <w:highlight w:val="none"/>
          <w:u w:val="single"/>
        </w:rPr>
        <w:t xml:space="preserve">   </w:t>
      </w:r>
      <w:r>
        <w:rPr>
          <w:rFonts w:hint="eastAsia" w:ascii="仿宋" w:hAnsi="仿宋" w:eastAsia="仿宋"/>
          <w:color w:val="000000"/>
          <w:sz w:val="24"/>
          <w:szCs w:val="24"/>
          <w:highlight w:val="none"/>
        </w:rPr>
        <w:t>月</w:t>
      </w:r>
      <w:r>
        <w:rPr>
          <w:rFonts w:hint="eastAsia" w:ascii="仿宋" w:hAnsi="仿宋" w:eastAsia="仿宋"/>
          <w:color w:val="000000"/>
          <w:sz w:val="24"/>
          <w:szCs w:val="24"/>
          <w:highlight w:val="none"/>
          <w:u w:val="single"/>
        </w:rPr>
        <w:t xml:space="preserve">   </w:t>
      </w:r>
      <w:r>
        <w:rPr>
          <w:rFonts w:hint="eastAsia" w:ascii="仿宋" w:hAnsi="仿宋" w:eastAsia="仿宋"/>
          <w:color w:val="000000"/>
          <w:sz w:val="24"/>
          <w:szCs w:val="24"/>
          <w:highlight w:val="none"/>
        </w:rPr>
        <w:t>日</w:t>
      </w:r>
      <w:r>
        <w:rPr>
          <w:rFonts w:ascii="仿宋" w:hAnsi="仿宋" w:eastAsia="仿宋"/>
          <w:color w:val="000000"/>
          <w:sz w:val="24"/>
          <w:szCs w:val="24"/>
          <w:highlight w:val="none"/>
        </w:rPr>
        <w:br w:type="page"/>
      </w:r>
      <w:r>
        <w:rPr>
          <w:rFonts w:hint="eastAsia" w:ascii="仿宋" w:hAnsi="仿宋" w:eastAsia="仿宋"/>
          <w:color w:val="000000"/>
          <w:sz w:val="24"/>
          <w:szCs w:val="24"/>
          <w:highlight w:val="none"/>
        </w:rPr>
        <w:t xml:space="preserve"> </w:t>
      </w:r>
    </w:p>
    <w:p w14:paraId="5F8FB0A8">
      <w:pPr>
        <w:pStyle w:val="5"/>
        <w:ind w:firstLine="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附件一：</w:t>
      </w:r>
    </w:p>
    <w:p w14:paraId="2678F72C">
      <w:pPr>
        <w:spacing w:line="440" w:lineRule="exact"/>
        <w:jc w:val="center"/>
        <w:rPr>
          <w:rFonts w:hint="eastAsia" w:ascii="仿宋" w:hAnsi="仿宋" w:eastAsia="仿宋"/>
          <w:b/>
          <w:bCs/>
          <w:sz w:val="44"/>
          <w:szCs w:val="44"/>
          <w:highlight w:val="none"/>
        </w:rPr>
      </w:pPr>
      <w:r>
        <w:rPr>
          <w:rFonts w:hint="eastAsia" w:ascii="仿宋" w:hAnsi="仿宋" w:eastAsia="仿宋"/>
          <w:b/>
          <w:bCs/>
          <w:sz w:val="44"/>
          <w:szCs w:val="44"/>
          <w:highlight w:val="none"/>
        </w:rPr>
        <w:t>廉洁协议</w:t>
      </w:r>
    </w:p>
    <w:p w14:paraId="09AF1A2B">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1D8BAC87">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甲方：【海南洋浦陆海</w:t>
      </w:r>
      <w:r>
        <w:rPr>
          <w:rFonts w:hint="eastAsia" w:ascii="仿宋" w:hAnsi="仿宋" w:eastAsia="仿宋"/>
          <w:sz w:val="24"/>
          <w:szCs w:val="24"/>
          <w:highlight w:val="none"/>
          <w:lang w:eastAsia="zh-CN"/>
        </w:rPr>
        <w:t>能源发展</w:t>
      </w:r>
      <w:r>
        <w:rPr>
          <w:rFonts w:hint="eastAsia" w:ascii="仿宋" w:hAnsi="仿宋" w:eastAsia="仿宋"/>
          <w:sz w:val="24"/>
          <w:szCs w:val="24"/>
          <w:highlight w:val="none"/>
        </w:rPr>
        <w:t xml:space="preserve">有限公司】                     </w:t>
      </w:r>
    </w:p>
    <w:p w14:paraId="126686C5">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乙方：【</w:t>
      </w:r>
      <w:r>
        <w:rPr>
          <w:rFonts w:hint="eastAsia" w:ascii="仿宋" w:hAnsi="仿宋" w:eastAsia="仿宋" w:cs="仿宋"/>
          <w:color w:val="000000"/>
          <w:sz w:val="24"/>
          <w:szCs w:val="24"/>
          <w:highlight w:val="none"/>
        </w:rPr>
        <w:t xml:space="preserve">   </w:t>
      </w:r>
      <w:r>
        <w:rPr>
          <w:rFonts w:hint="eastAsia" w:ascii="仿宋" w:hAnsi="仿宋" w:eastAsia="仿宋"/>
          <w:sz w:val="24"/>
          <w:szCs w:val="24"/>
          <w:highlight w:val="none"/>
        </w:rPr>
        <w:t xml:space="preserve">】                             </w:t>
      </w:r>
    </w:p>
    <w:p w14:paraId="024CF13D">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5CCF5114">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一、适用范围</w:t>
      </w:r>
    </w:p>
    <w:p w14:paraId="186654A5">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本合同适用于甲方、乙方的所有工作人员。</w:t>
      </w:r>
    </w:p>
    <w:p w14:paraId="28CA0965">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二、甲方对其工作人员的廉洁要求</w:t>
      </w:r>
    </w:p>
    <w:p w14:paraId="69D73E28">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甲方禁止其工作人员从事如下行为：</w:t>
      </w:r>
    </w:p>
    <w:p w14:paraId="017875E7">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2.1向乙方索要贿赂、收受回扣及好处费、感谢费等；</w:t>
      </w:r>
    </w:p>
    <w:p w14:paraId="054FCB94">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2.2接受乙方馈赠的礼品礼金、通讯工具、交通工具、家电、高档办公用品、购物卡券等；</w:t>
      </w:r>
    </w:p>
    <w:p w14:paraId="6141AA22">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2.3 以洽谈业务、签订经济合同为借口，接受乙方或其工作人员外出旅游和进入营业性高档娱乐场所的邀请；</w:t>
      </w:r>
    </w:p>
    <w:p w14:paraId="2F28B69F">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2.4以个人名义向乙方推荐和指定分包单位、材料供应商，向乙方、分包单位、材料供应商等单位介绍其配偶、子女、亲属等特定关系人从事与履行甲乙双方间合同有关的营利性经营活动；</w:t>
      </w:r>
    </w:p>
    <w:p w14:paraId="47F2CB4D">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2.5要求或者接受乙方为其住房装修、婚丧嫁娶、家属和子女的工作安排以及出境等提供方便；</w:t>
      </w:r>
    </w:p>
    <w:p w14:paraId="486E2522">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2.6利用职务便利，向乙方或分包、协作队伍、材料供应商借用交通工具、工款等，或提出、暗示其他不正当要求；</w:t>
      </w:r>
    </w:p>
    <w:p w14:paraId="4493733A">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2.7 要求乙方报销任何应由其个人承担的费用；</w:t>
      </w:r>
    </w:p>
    <w:p w14:paraId="67B844CB">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2.8 参加有可能影响公正开展工作的宴请、娱乐或其它活动</w:t>
      </w:r>
    </w:p>
    <w:p w14:paraId="23341FF3">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2.9 进行其他违反政策、法律法规或廉洁从业要求的其他行为。</w:t>
      </w:r>
    </w:p>
    <w:p w14:paraId="21BA7EF4">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三、乙方发现甲方工作人员有本合同第二条所列任何行为，有义务拒绝，亦有义务向甲方举报。</w:t>
      </w:r>
    </w:p>
    <w:p w14:paraId="0AA509AC">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甲方接受举报的途径如下：</w:t>
      </w:r>
    </w:p>
    <w:p w14:paraId="7870B358">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公司受理部门：纪检监察室</w:t>
      </w:r>
    </w:p>
    <w:p w14:paraId="169D2916">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 xml:space="preserve">公司受理电话：0898-28810186        </w:t>
      </w:r>
    </w:p>
    <w:p w14:paraId="263DFD0C">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公司受理邮箱：chengl@hnyplh.com</w:t>
      </w:r>
    </w:p>
    <w:p w14:paraId="332176D9">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25D9333B">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五、乙方若须按照本廉洁协议约定承担违约责任，并不影响其按照主合同的约定承担违约责任。</w:t>
      </w:r>
    </w:p>
    <w:p w14:paraId="188F3474">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六、本廉洁协作为合同的附件，与合同具有同等法律效力，经合同双方签署后生效。</w:t>
      </w:r>
    </w:p>
    <w:p w14:paraId="48DC0DB2">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七、本合同【一式肆份，甲方执贰份,乙方执贰份】，具有同等效力。</w:t>
      </w:r>
    </w:p>
    <w:p w14:paraId="3D065169">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366E0AA1">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甲方：【</w:t>
      </w:r>
      <w:r>
        <w:rPr>
          <w:rFonts w:hint="eastAsia" w:ascii="仿宋" w:hAnsi="仿宋" w:eastAsia="仿宋" w:cs="仿宋"/>
          <w:color w:val="000000"/>
          <w:sz w:val="24"/>
          <w:szCs w:val="24"/>
          <w:highlight w:val="none"/>
        </w:rPr>
        <w:t>海南洋浦陆海</w:t>
      </w:r>
      <w:r>
        <w:rPr>
          <w:rFonts w:hint="eastAsia" w:ascii="仿宋" w:hAnsi="仿宋" w:eastAsia="仿宋" w:cs="仿宋"/>
          <w:color w:val="000000"/>
          <w:sz w:val="24"/>
          <w:szCs w:val="24"/>
          <w:highlight w:val="none"/>
          <w:lang w:eastAsia="zh-CN"/>
        </w:rPr>
        <w:t>能源发展</w:t>
      </w:r>
      <w:r>
        <w:rPr>
          <w:rFonts w:hint="eastAsia" w:ascii="仿宋" w:hAnsi="仿宋" w:eastAsia="仿宋" w:cs="仿宋"/>
          <w:color w:val="000000"/>
          <w:sz w:val="24"/>
          <w:szCs w:val="24"/>
          <w:highlight w:val="none"/>
        </w:rPr>
        <w:t>有限公司</w:t>
      </w:r>
      <w:r>
        <w:rPr>
          <w:rFonts w:hint="eastAsia" w:ascii="仿宋" w:hAnsi="仿宋" w:eastAsia="仿宋"/>
          <w:sz w:val="24"/>
          <w:szCs w:val="24"/>
          <w:highlight w:val="none"/>
        </w:rPr>
        <w:t xml:space="preserve">】              </w:t>
      </w:r>
    </w:p>
    <w:p w14:paraId="369A8207">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607B2194">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法定代表人（委托代理人）：【     】</w:t>
      </w:r>
    </w:p>
    <w:p w14:paraId="6EC41F34">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74EDF211">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乙方：【</w:t>
      </w:r>
      <w:r>
        <w:rPr>
          <w:rFonts w:hint="eastAsia" w:ascii="仿宋" w:hAnsi="仿宋" w:eastAsia="仿宋" w:cs="仿宋"/>
          <w:color w:val="000000"/>
          <w:sz w:val="24"/>
          <w:szCs w:val="24"/>
          <w:highlight w:val="none"/>
        </w:rPr>
        <w:t xml:space="preserve">  </w:t>
      </w:r>
      <w:r>
        <w:rPr>
          <w:rFonts w:hint="eastAsia" w:ascii="仿宋" w:hAnsi="仿宋" w:eastAsia="仿宋"/>
          <w:sz w:val="24"/>
          <w:szCs w:val="24"/>
          <w:highlight w:val="none"/>
        </w:rPr>
        <w:t>】</w:t>
      </w:r>
    </w:p>
    <w:p w14:paraId="676C70D5">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4631828E">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法定代表人（委托代理人）：【     】</w:t>
      </w:r>
    </w:p>
    <w:p w14:paraId="746A5FFE">
      <w:pPr>
        <w:rPr>
          <w:highlight w:val="none"/>
        </w:rPr>
      </w:pPr>
    </w:p>
    <w:p w14:paraId="2FF18E62">
      <w:pPr>
        <w:pStyle w:val="6"/>
        <w:ind w:firstLine="0" w:firstLineChars="0"/>
        <w:rPr>
          <w:rFonts w:hint="eastAsia" w:ascii="楷体" w:hAnsi="楷体" w:eastAsia="楷体" w:cs="楷体"/>
          <w:sz w:val="24"/>
          <w:szCs w:val="24"/>
          <w:highlight w:val="none"/>
        </w:rPr>
      </w:pPr>
      <w:r>
        <w:rPr>
          <w:rFonts w:hint="eastAsia" w:ascii="楷体" w:hAnsi="楷体" w:eastAsia="楷体" w:cs="楷体"/>
          <w:sz w:val="24"/>
          <w:szCs w:val="24"/>
          <w:highlight w:val="none"/>
        </w:rPr>
        <w:t>年    月    日                              年    月    日</w:t>
      </w:r>
    </w:p>
    <w:p w14:paraId="60F009DC">
      <w:pPr>
        <w:pStyle w:val="6"/>
        <w:ind w:firstLine="2400" w:firstLineChars="1000"/>
        <w:rPr>
          <w:rFonts w:hint="eastAsia" w:ascii="楷体" w:hAnsi="楷体" w:eastAsia="楷体" w:cs="楷体"/>
          <w:sz w:val="24"/>
          <w:szCs w:val="24"/>
          <w:highlight w:val="none"/>
        </w:rPr>
      </w:pPr>
    </w:p>
    <w:p w14:paraId="73B728F7">
      <w:pPr>
        <w:pStyle w:val="6"/>
        <w:ind w:firstLine="2400" w:firstLineChars="1000"/>
        <w:rPr>
          <w:rFonts w:hint="eastAsia" w:ascii="楷体" w:hAnsi="楷体" w:eastAsia="楷体" w:cs="楷体"/>
          <w:sz w:val="24"/>
          <w:szCs w:val="24"/>
          <w:highlight w:val="none"/>
        </w:rPr>
      </w:pPr>
    </w:p>
    <w:p w14:paraId="53B6E67C">
      <w:pPr>
        <w:pStyle w:val="6"/>
        <w:ind w:firstLine="2400" w:firstLineChars="1000"/>
        <w:rPr>
          <w:rFonts w:hint="eastAsia" w:ascii="楷体" w:hAnsi="楷体" w:eastAsia="楷体" w:cs="楷体"/>
          <w:sz w:val="24"/>
          <w:szCs w:val="24"/>
          <w:highlight w:val="none"/>
        </w:rPr>
      </w:pPr>
    </w:p>
    <w:p w14:paraId="2AB5068E">
      <w:pPr>
        <w:pStyle w:val="6"/>
        <w:ind w:firstLine="0" w:firstLineChars="0"/>
        <w:rPr>
          <w:rFonts w:hint="eastAsia" w:ascii="楷体" w:hAnsi="楷体" w:eastAsia="楷体" w:cs="楷体"/>
          <w:sz w:val="24"/>
          <w:szCs w:val="24"/>
          <w:highlight w:val="none"/>
        </w:rPr>
      </w:pPr>
    </w:p>
    <w:p w14:paraId="563E4612">
      <w:pPr>
        <w:pStyle w:val="6"/>
        <w:rPr>
          <w:rFonts w:hint="eastAsia" w:ascii="楷体" w:hAnsi="楷体" w:eastAsia="楷体" w:cs="楷体"/>
          <w:b/>
          <w:sz w:val="24"/>
          <w:szCs w:val="24"/>
          <w:highlight w:val="none"/>
        </w:rPr>
        <w:sectPr>
          <w:pgSz w:w="11906" w:h="16838"/>
          <w:pgMar w:top="1440" w:right="1800" w:bottom="1247" w:left="1800" w:header="851" w:footer="992" w:gutter="0"/>
          <w:cols w:space="0" w:num="1"/>
          <w:docGrid w:type="lines" w:linePitch="312" w:charSpace="0"/>
        </w:sectPr>
      </w:pPr>
    </w:p>
    <w:p w14:paraId="2A7B0E00">
      <w:pPr>
        <w:pStyle w:val="6"/>
        <w:rPr>
          <w:rFonts w:hint="eastAsia" w:ascii="楷体" w:hAnsi="楷体" w:eastAsia="楷体" w:cs="楷体"/>
          <w:b/>
          <w:sz w:val="24"/>
          <w:szCs w:val="24"/>
          <w:highlight w:val="none"/>
        </w:rPr>
      </w:pPr>
      <w:r>
        <w:rPr>
          <w:rFonts w:hint="eastAsia" w:ascii="楷体" w:hAnsi="楷体" w:eastAsia="楷体" w:cs="楷体"/>
          <w:b/>
          <w:sz w:val="24"/>
          <w:szCs w:val="24"/>
          <w:highlight w:val="none"/>
        </w:rPr>
        <w:t>附件一</w:t>
      </w:r>
    </w:p>
    <w:p w14:paraId="4DD4EE57">
      <w:pPr>
        <w:jc w:val="center"/>
        <w:rPr>
          <w:rFonts w:hint="eastAsia" w:ascii="楷体" w:hAnsi="楷体" w:eastAsia="楷体" w:cs="楷体"/>
          <w:b/>
          <w:sz w:val="24"/>
          <w:szCs w:val="24"/>
          <w:highlight w:val="none"/>
        </w:rPr>
      </w:pPr>
      <w:r>
        <w:rPr>
          <w:rFonts w:hint="eastAsia" w:ascii="楷体" w:hAnsi="楷体" w:eastAsia="楷体" w:cs="楷体"/>
          <w:b/>
          <w:sz w:val="24"/>
          <w:szCs w:val="24"/>
          <w:highlight w:val="none"/>
        </w:rPr>
        <w:t>授权业务经办人员联系卡</w:t>
      </w:r>
    </w:p>
    <w:tbl>
      <w:tblPr>
        <w:tblStyle w:val="20"/>
        <w:tblW w:w="9277" w:type="dxa"/>
        <w:tblInd w:w="93" w:type="dxa"/>
        <w:tblLayout w:type="fixed"/>
        <w:tblCellMar>
          <w:top w:w="0" w:type="dxa"/>
          <w:left w:w="108" w:type="dxa"/>
          <w:bottom w:w="0" w:type="dxa"/>
          <w:right w:w="108" w:type="dxa"/>
        </w:tblCellMar>
      </w:tblPr>
      <w:tblGrid>
        <w:gridCol w:w="1287"/>
        <w:gridCol w:w="1422"/>
        <w:gridCol w:w="1960"/>
        <w:gridCol w:w="2649"/>
        <w:gridCol w:w="1959"/>
      </w:tblGrid>
      <w:tr w14:paraId="1CDD715C">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7CC85F5C">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职务</w:t>
            </w:r>
          </w:p>
        </w:tc>
        <w:tc>
          <w:tcPr>
            <w:tcW w:w="1422" w:type="dxa"/>
            <w:tcBorders>
              <w:top w:val="single" w:color="auto" w:sz="4" w:space="0"/>
              <w:left w:val="nil"/>
              <w:bottom w:val="single" w:color="auto" w:sz="4" w:space="0"/>
              <w:right w:val="single" w:color="auto" w:sz="4" w:space="0"/>
            </w:tcBorders>
            <w:shd w:val="clear" w:color="auto" w:fill="auto"/>
            <w:vAlign w:val="center"/>
          </w:tcPr>
          <w:p w14:paraId="2DFF51DF">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姓名</w:t>
            </w:r>
          </w:p>
        </w:tc>
        <w:tc>
          <w:tcPr>
            <w:tcW w:w="1960" w:type="dxa"/>
            <w:tcBorders>
              <w:top w:val="single" w:color="auto" w:sz="4" w:space="0"/>
              <w:left w:val="nil"/>
              <w:bottom w:val="single" w:color="auto" w:sz="4" w:space="0"/>
              <w:right w:val="single" w:color="auto" w:sz="4" w:space="0"/>
            </w:tcBorders>
            <w:shd w:val="clear" w:color="auto" w:fill="auto"/>
            <w:vAlign w:val="center"/>
          </w:tcPr>
          <w:p w14:paraId="36F49ED2">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电话</w:t>
            </w:r>
          </w:p>
        </w:tc>
        <w:tc>
          <w:tcPr>
            <w:tcW w:w="2649" w:type="dxa"/>
            <w:tcBorders>
              <w:top w:val="single" w:color="auto" w:sz="4" w:space="0"/>
              <w:left w:val="nil"/>
              <w:bottom w:val="single" w:color="auto" w:sz="4" w:space="0"/>
              <w:right w:val="single" w:color="auto" w:sz="4" w:space="0"/>
            </w:tcBorders>
            <w:shd w:val="clear" w:color="auto" w:fill="auto"/>
            <w:vAlign w:val="center"/>
          </w:tcPr>
          <w:p w14:paraId="617DAAB7">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身份证号码</w:t>
            </w:r>
          </w:p>
        </w:tc>
        <w:tc>
          <w:tcPr>
            <w:tcW w:w="1959" w:type="dxa"/>
            <w:tcBorders>
              <w:top w:val="single" w:color="auto" w:sz="4" w:space="0"/>
              <w:left w:val="nil"/>
              <w:bottom w:val="single" w:color="auto" w:sz="4" w:space="0"/>
              <w:right w:val="single" w:color="auto" w:sz="4" w:space="0"/>
            </w:tcBorders>
            <w:shd w:val="clear" w:color="auto" w:fill="auto"/>
            <w:vAlign w:val="center"/>
          </w:tcPr>
          <w:p w14:paraId="2D0B12D0">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签名</w:t>
            </w:r>
          </w:p>
        </w:tc>
      </w:tr>
      <w:tr w14:paraId="364FDBB2">
        <w:tblPrEx>
          <w:tblCellMar>
            <w:top w:w="0" w:type="dxa"/>
            <w:left w:w="108" w:type="dxa"/>
            <w:bottom w:w="0" w:type="dxa"/>
            <w:right w:w="108" w:type="dxa"/>
          </w:tblCellMar>
        </w:tblPrEx>
        <w:trPr>
          <w:trHeight w:val="585" w:hRule="atLeast"/>
        </w:trPr>
        <w:tc>
          <w:tcPr>
            <w:tcW w:w="1287" w:type="dxa"/>
            <w:tcBorders>
              <w:top w:val="nil"/>
              <w:left w:val="single" w:color="auto" w:sz="4" w:space="0"/>
              <w:bottom w:val="single" w:color="auto" w:sz="4" w:space="0"/>
              <w:right w:val="single" w:color="auto" w:sz="4" w:space="0"/>
            </w:tcBorders>
            <w:shd w:val="clear" w:color="auto" w:fill="auto"/>
            <w:vAlign w:val="center"/>
          </w:tcPr>
          <w:p w14:paraId="765287F2">
            <w:pPr>
              <w:widowControl/>
              <w:rPr>
                <w:rFonts w:hint="eastAsia" w:ascii="楷体" w:hAnsi="楷体" w:eastAsia="楷体" w:cs="楷体"/>
                <w:kern w:val="0"/>
                <w:sz w:val="24"/>
                <w:szCs w:val="24"/>
                <w:highlight w:val="none"/>
              </w:rPr>
            </w:pPr>
          </w:p>
          <w:p w14:paraId="57365197">
            <w:pPr>
              <w:widowControl/>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送货单签认人</w:t>
            </w:r>
          </w:p>
        </w:tc>
        <w:tc>
          <w:tcPr>
            <w:tcW w:w="1422" w:type="dxa"/>
            <w:tcBorders>
              <w:top w:val="nil"/>
              <w:left w:val="nil"/>
              <w:bottom w:val="single" w:color="auto" w:sz="4" w:space="0"/>
              <w:right w:val="single" w:color="auto" w:sz="4" w:space="0"/>
            </w:tcBorders>
            <w:shd w:val="clear" w:color="auto" w:fill="auto"/>
            <w:vAlign w:val="center"/>
          </w:tcPr>
          <w:p w14:paraId="59E4DF4D">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3C5777D2">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029C8DE2">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4AFBBB5E">
            <w:pPr>
              <w:widowControl/>
              <w:jc w:val="center"/>
              <w:rPr>
                <w:rFonts w:hint="eastAsia" w:ascii="楷体" w:hAnsi="楷体" w:eastAsia="楷体" w:cs="楷体"/>
                <w:kern w:val="0"/>
                <w:sz w:val="24"/>
                <w:szCs w:val="24"/>
                <w:highlight w:val="none"/>
              </w:rPr>
            </w:pPr>
          </w:p>
        </w:tc>
      </w:tr>
      <w:tr w14:paraId="7F4F946E">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vAlign w:val="center"/>
          </w:tcPr>
          <w:p w14:paraId="30ABFE47">
            <w:pPr>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结算单签认人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5146AFA0">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1FCC720E">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01405044">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1B53F7A1">
            <w:pPr>
              <w:widowControl/>
              <w:jc w:val="center"/>
              <w:rPr>
                <w:rFonts w:hint="eastAsia" w:ascii="楷体" w:hAnsi="楷体" w:eastAsia="楷体" w:cs="楷体"/>
                <w:kern w:val="0"/>
                <w:sz w:val="24"/>
                <w:szCs w:val="24"/>
                <w:highlight w:val="none"/>
              </w:rPr>
            </w:pPr>
          </w:p>
        </w:tc>
      </w:tr>
      <w:tr w14:paraId="41D08E7D">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2AFE4D77">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调价函签认人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78EE9615">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7400AB3F">
            <w:pPr>
              <w:widowControl/>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58B68765">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6D75231A">
            <w:pPr>
              <w:widowControl/>
              <w:jc w:val="center"/>
              <w:rPr>
                <w:rFonts w:hint="eastAsia" w:ascii="楷体" w:hAnsi="楷体" w:eastAsia="楷体" w:cs="楷体"/>
                <w:kern w:val="0"/>
                <w:sz w:val="24"/>
                <w:szCs w:val="24"/>
                <w:highlight w:val="none"/>
              </w:rPr>
            </w:pPr>
          </w:p>
        </w:tc>
      </w:tr>
      <w:tr w14:paraId="7EC99962">
        <w:tblPrEx>
          <w:tblCellMar>
            <w:top w:w="0" w:type="dxa"/>
            <w:left w:w="108" w:type="dxa"/>
            <w:bottom w:w="0" w:type="dxa"/>
            <w:right w:w="108" w:type="dxa"/>
          </w:tblCellMar>
        </w:tblPrEx>
        <w:trPr>
          <w:trHeight w:val="587" w:hRule="atLeast"/>
        </w:trPr>
        <w:tc>
          <w:tcPr>
            <w:tcW w:w="1287" w:type="dxa"/>
            <w:tcBorders>
              <w:top w:val="single" w:color="auto" w:sz="4" w:space="0"/>
              <w:left w:val="single" w:color="auto" w:sz="4" w:space="0"/>
              <w:bottom w:val="single" w:color="auto" w:sz="4" w:space="0"/>
              <w:right w:val="single" w:color="auto" w:sz="4" w:space="0"/>
            </w:tcBorders>
            <w:vAlign w:val="center"/>
          </w:tcPr>
          <w:p w14:paraId="78F71691">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发票回执</w:t>
            </w:r>
          </w:p>
          <w:p w14:paraId="3A29AB9E">
            <w:pPr>
              <w:widowControl/>
              <w:jc w:val="left"/>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签收人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6BA99873">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60" w:type="dxa"/>
            <w:tcBorders>
              <w:top w:val="nil"/>
              <w:left w:val="nil"/>
              <w:bottom w:val="single" w:color="auto" w:sz="4" w:space="0"/>
              <w:right w:val="single" w:color="auto" w:sz="4" w:space="0"/>
            </w:tcBorders>
            <w:shd w:val="clear" w:color="auto" w:fill="auto"/>
            <w:vAlign w:val="center"/>
          </w:tcPr>
          <w:p w14:paraId="644A5BA0">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2649" w:type="dxa"/>
            <w:tcBorders>
              <w:top w:val="nil"/>
              <w:left w:val="nil"/>
              <w:bottom w:val="single" w:color="auto" w:sz="4" w:space="0"/>
              <w:right w:val="single" w:color="auto" w:sz="4" w:space="0"/>
            </w:tcBorders>
            <w:shd w:val="clear" w:color="auto" w:fill="auto"/>
            <w:vAlign w:val="center"/>
          </w:tcPr>
          <w:p w14:paraId="13AA000A">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xml:space="preserve"> 　</w:t>
            </w:r>
          </w:p>
        </w:tc>
        <w:tc>
          <w:tcPr>
            <w:tcW w:w="1959" w:type="dxa"/>
            <w:tcBorders>
              <w:top w:val="nil"/>
              <w:left w:val="nil"/>
              <w:bottom w:val="single" w:color="auto" w:sz="4" w:space="0"/>
              <w:right w:val="single" w:color="auto" w:sz="4" w:space="0"/>
            </w:tcBorders>
            <w:shd w:val="clear" w:color="auto" w:fill="auto"/>
            <w:vAlign w:val="center"/>
          </w:tcPr>
          <w:p w14:paraId="7BD03D38">
            <w:pPr>
              <w:widowControl/>
              <w:jc w:val="center"/>
              <w:rPr>
                <w:rFonts w:hint="eastAsia" w:ascii="楷体" w:hAnsi="楷体" w:eastAsia="楷体" w:cs="楷体"/>
                <w:kern w:val="0"/>
                <w:sz w:val="24"/>
                <w:szCs w:val="24"/>
                <w:highlight w:val="none"/>
              </w:rPr>
            </w:pPr>
          </w:p>
        </w:tc>
      </w:tr>
      <w:tr w14:paraId="2A9524B2">
        <w:tblPrEx>
          <w:tblCellMar>
            <w:top w:w="0" w:type="dxa"/>
            <w:left w:w="108" w:type="dxa"/>
            <w:bottom w:w="0" w:type="dxa"/>
            <w:right w:w="108" w:type="dxa"/>
          </w:tblCellMar>
        </w:tblPrEx>
        <w:trPr>
          <w:trHeight w:val="585" w:hRule="atLeast"/>
        </w:trPr>
        <w:tc>
          <w:tcPr>
            <w:tcW w:w="1287" w:type="dxa"/>
            <w:tcBorders>
              <w:top w:val="single" w:color="auto" w:sz="4" w:space="0"/>
              <w:left w:val="single" w:color="auto" w:sz="4" w:space="0"/>
              <w:bottom w:val="single" w:color="auto" w:sz="4" w:space="0"/>
              <w:right w:val="single" w:color="auto" w:sz="4" w:space="0"/>
            </w:tcBorders>
            <w:vAlign w:val="center"/>
          </w:tcPr>
          <w:p w14:paraId="170E312D">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协议授权</w:t>
            </w:r>
          </w:p>
          <w:p w14:paraId="16814678">
            <w:pPr>
              <w:widowControl/>
              <w:jc w:val="left"/>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签订人</w:t>
            </w:r>
          </w:p>
        </w:tc>
        <w:tc>
          <w:tcPr>
            <w:tcW w:w="1422" w:type="dxa"/>
            <w:tcBorders>
              <w:top w:val="single" w:color="auto" w:sz="4" w:space="0"/>
              <w:left w:val="nil"/>
              <w:bottom w:val="single" w:color="auto" w:sz="4" w:space="0"/>
              <w:right w:val="single" w:color="auto" w:sz="4" w:space="0"/>
            </w:tcBorders>
            <w:shd w:val="clear" w:color="auto" w:fill="auto"/>
            <w:vAlign w:val="center"/>
          </w:tcPr>
          <w:p w14:paraId="78792921">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w:t>
            </w:r>
          </w:p>
        </w:tc>
        <w:tc>
          <w:tcPr>
            <w:tcW w:w="1960" w:type="dxa"/>
            <w:tcBorders>
              <w:top w:val="nil"/>
              <w:left w:val="nil"/>
              <w:bottom w:val="single" w:color="auto" w:sz="4" w:space="0"/>
              <w:right w:val="single" w:color="auto" w:sz="4" w:space="0"/>
            </w:tcBorders>
            <w:shd w:val="clear" w:color="auto" w:fill="auto"/>
            <w:vAlign w:val="center"/>
          </w:tcPr>
          <w:p w14:paraId="5B2BD863">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w:t>
            </w:r>
          </w:p>
        </w:tc>
        <w:tc>
          <w:tcPr>
            <w:tcW w:w="2649" w:type="dxa"/>
            <w:tcBorders>
              <w:top w:val="nil"/>
              <w:left w:val="nil"/>
              <w:bottom w:val="single" w:color="auto" w:sz="4" w:space="0"/>
              <w:right w:val="single" w:color="auto" w:sz="4" w:space="0"/>
            </w:tcBorders>
            <w:shd w:val="clear" w:color="auto" w:fill="auto"/>
            <w:vAlign w:val="center"/>
          </w:tcPr>
          <w:p w14:paraId="3C19427B">
            <w:pPr>
              <w:widowControl/>
              <w:jc w:val="center"/>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　</w:t>
            </w:r>
          </w:p>
        </w:tc>
        <w:tc>
          <w:tcPr>
            <w:tcW w:w="1959" w:type="dxa"/>
            <w:tcBorders>
              <w:top w:val="nil"/>
              <w:left w:val="nil"/>
              <w:bottom w:val="single" w:color="auto" w:sz="4" w:space="0"/>
              <w:right w:val="single" w:color="auto" w:sz="4" w:space="0"/>
            </w:tcBorders>
            <w:shd w:val="clear" w:color="auto" w:fill="auto"/>
            <w:vAlign w:val="center"/>
          </w:tcPr>
          <w:p w14:paraId="30182D78">
            <w:pPr>
              <w:widowControl/>
              <w:jc w:val="center"/>
              <w:rPr>
                <w:rFonts w:hint="eastAsia" w:ascii="楷体" w:hAnsi="楷体" w:eastAsia="楷体" w:cs="楷体"/>
                <w:kern w:val="0"/>
                <w:sz w:val="24"/>
                <w:szCs w:val="24"/>
                <w:highlight w:val="none"/>
              </w:rPr>
            </w:pPr>
          </w:p>
        </w:tc>
      </w:tr>
    </w:tbl>
    <w:p w14:paraId="36AD7ACF">
      <w:pPr>
        <w:rPr>
          <w:rFonts w:hint="eastAsia" w:ascii="楷体" w:hAnsi="楷体" w:eastAsia="楷体" w:cs="楷体"/>
          <w:sz w:val="24"/>
          <w:szCs w:val="24"/>
          <w:highlight w:val="none"/>
        </w:rPr>
      </w:pPr>
    </w:p>
    <w:p w14:paraId="384D2F3E">
      <w:pPr>
        <w:rPr>
          <w:rFonts w:hint="eastAsia" w:ascii="楷体" w:hAnsi="楷体" w:eastAsia="楷体" w:cs="楷体"/>
          <w:sz w:val="24"/>
          <w:szCs w:val="24"/>
          <w:highlight w:val="none"/>
        </w:rPr>
      </w:pPr>
    </w:p>
    <w:p w14:paraId="041A216A">
      <w:pPr>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                                             </w:t>
      </w:r>
    </w:p>
    <w:p w14:paraId="172615E9">
      <w:pPr>
        <w:spacing w:line="360" w:lineRule="auto"/>
        <w:ind w:firstLineChars="0"/>
        <w:jc w:val="center"/>
        <w:rPr>
          <w:rFonts w:hint="eastAsia" w:ascii="楷体" w:hAnsi="楷体" w:eastAsia="楷体" w:cs="楷体"/>
          <w:b/>
          <w:bCs/>
          <w:kern w:val="44"/>
          <w:sz w:val="24"/>
          <w:szCs w:val="24"/>
          <w:highlight w:val="none"/>
        </w:rPr>
        <w:sectPr>
          <w:pgSz w:w="11906" w:h="16838"/>
          <w:pgMar w:top="1440" w:right="1800" w:bottom="1247" w:left="1800" w:header="851" w:footer="992" w:gutter="0"/>
          <w:cols w:space="0" w:num="1"/>
          <w:docGrid w:type="lines" w:linePitch="312" w:charSpace="0"/>
        </w:sectPr>
      </w:pPr>
      <w:r>
        <w:rPr>
          <w:rFonts w:hint="eastAsia" w:ascii="楷体" w:hAnsi="楷体" w:eastAsia="楷体" w:cs="楷体"/>
          <w:sz w:val="24"/>
          <w:szCs w:val="24"/>
          <w:highlight w:val="none"/>
        </w:rPr>
        <w:t xml:space="preserve">                                  （加盖公章） </w:t>
      </w:r>
    </w:p>
    <w:p w14:paraId="52157BEE">
      <w:pPr>
        <w:pStyle w:val="28"/>
        <w:spacing w:line="360" w:lineRule="auto"/>
        <w:ind w:firstLine="0" w:firstLineChars="0"/>
        <w:jc w:val="center"/>
        <w:rPr>
          <w:rFonts w:hint="eastAsia" w:ascii="楷体" w:hAnsi="楷体" w:eastAsia="楷体" w:cs="楷体"/>
          <w:b/>
          <w:bCs/>
          <w:kern w:val="44"/>
          <w:sz w:val="24"/>
          <w:szCs w:val="24"/>
          <w:highlight w:val="none"/>
        </w:rPr>
      </w:pPr>
      <w:r>
        <w:rPr>
          <w:rFonts w:hint="eastAsia" w:ascii="楷体" w:hAnsi="楷体" w:eastAsia="楷体" w:cs="楷体"/>
          <w:b/>
          <w:bCs/>
          <w:kern w:val="44"/>
          <w:sz w:val="24"/>
          <w:szCs w:val="24"/>
          <w:highlight w:val="none"/>
        </w:rPr>
        <w:t>第四章报价书（格式）</w:t>
      </w:r>
    </w:p>
    <w:p w14:paraId="1D402D02">
      <w:pPr>
        <w:pStyle w:val="28"/>
        <w:numPr>
          <w:ilvl w:val="0"/>
          <w:numId w:val="2"/>
        </w:numPr>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 w:hAnsi="楷体" w:eastAsia="楷体" w:cs="楷体"/>
          <w:b/>
          <w:bCs/>
          <w:color w:val="000000" w:themeColor="text1"/>
          <w:kern w:val="44"/>
          <w:sz w:val="24"/>
          <w:szCs w:val="24"/>
          <w:highlight w:val="none"/>
          <w14:textFill>
            <w14:solidFill>
              <w14:schemeClr w14:val="tx1"/>
            </w14:solidFill>
          </w14:textFill>
        </w:rPr>
        <w:t>报价单（格式如下）</w:t>
      </w:r>
    </w:p>
    <w:p w14:paraId="420B6D82">
      <w:pPr>
        <w:pStyle w:val="28"/>
        <w:spacing w:line="400" w:lineRule="exact"/>
        <w:ind w:firstLine="0" w:firstLineChars="0"/>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本合同计价货币、结算货币和支付货币均为人民币。</w:t>
      </w:r>
    </w:p>
    <w:tbl>
      <w:tblPr>
        <w:tblStyle w:val="20"/>
        <w:tblpPr w:leftFromText="180" w:rightFromText="180" w:vertAnchor="text" w:horzAnchor="page" w:tblpX="1900" w:tblpY="194"/>
        <w:tblOverlap w:val="never"/>
        <w:tblW w:w="8336" w:type="dxa"/>
        <w:tblInd w:w="0" w:type="dxa"/>
        <w:tblLayout w:type="fixed"/>
        <w:tblCellMar>
          <w:top w:w="0" w:type="dxa"/>
          <w:left w:w="108" w:type="dxa"/>
          <w:bottom w:w="0" w:type="dxa"/>
          <w:right w:w="108" w:type="dxa"/>
        </w:tblCellMar>
      </w:tblPr>
      <w:tblGrid>
        <w:gridCol w:w="1005"/>
        <w:gridCol w:w="2341"/>
        <w:gridCol w:w="2158"/>
        <w:gridCol w:w="711"/>
        <w:gridCol w:w="1439"/>
        <w:gridCol w:w="682"/>
      </w:tblGrid>
      <w:tr w14:paraId="058A6C9E">
        <w:tblPrEx>
          <w:tblCellMar>
            <w:top w:w="0" w:type="dxa"/>
            <w:left w:w="108" w:type="dxa"/>
            <w:bottom w:w="0" w:type="dxa"/>
            <w:right w:w="108" w:type="dxa"/>
          </w:tblCellMar>
        </w:tblPrEx>
        <w:trPr>
          <w:trHeight w:val="746" w:hRule="atLeast"/>
        </w:trPr>
        <w:tc>
          <w:tcPr>
            <w:tcW w:w="1005" w:type="dxa"/>
            <w:tcBorders>
              <w:top w:val="single" w:color="000000" w:sz="4" w:space="0"/>
              <w:left w:val="single" w:color="000000" w:sz="4" w:space="0"/>
              <w:right w:val="single" w:color="000000" w:sz="4" w:space="0"/>
            </w:tcBorders>
            <w:vAlign w:val="center"/>
          </w:tcPr>
          <w:p w14:paraId="4B74EE84">
            <w:pPr>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序号</w:t>
            </w:r>
          </w:p>
        </w:tc>
        <w:tc>
          <w:tcPr>
            <w:tcW w:w="2341" w:type="dxa"/>
            <w:tcBorders>
              <w:top w:val="single" w:color="000000" w:sz="4" w:space="0"/>
              <w:left w:val="nil"/>
              <w:right w:val="single" w:color="000000" w:sz="4" w:space="0"/>
            </w:tcBorders>
            <w:vAlign w:val="center"/>
          </w:tcPr>
          <w:p w14:paraId="5FEF1312">
            <w:pPr>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产品名称</w:t>
            </w:r>
          </w:p>
        </w:tc>
        <w:tc>
          <w:tcPr>
            <w:tcW w:w="2158" w:type="dxa"/>
            <w:tcBorders>
              <w:top w:val="single" w:color="000000" w:sz="4" w:space="0"/>
              <w:left w:val="nil"/>
              <w:right w:val="single" w:color="000000" w:sz="4" w:space="0"/>
            </w:tcBorders>
            <w:vAlign w:val="center"/>
          </w:tcPr>
          <w:p w14:paraId="71BB8090">
            <w:pPr>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规格/型号</w:t>
            </w:r>
          </w:p>
        </w:tc>
        <w:tc>
          <w:tcPr>
            <w:tcW w:w="711" w:type="dxa"/>
            <w:tcBorders>
              <w:top w:val="single" w:color="000000" w:sz="4" w:space="0"/>
              <w:left w:val="nil"/>
              <w:right w:val="single" w:color="000000" w:sz="4" w:space="0"/>
            </w:tcBorders>
            <w:vAlign w:val="center"/>
          </w:tcPr>
          <w:p w14:paraId="41400B26">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单位</w:t>
            </w:r>
          </w:p>
        </w:tc>
        <w:tc>
          <w:tcPr>
            <w:tcW w:w="1439" w:type="dxa"/>
            <w:tcBorders>
              <w:top w:val="single" w:color="000000" w:sz="4" w:space="0"/>
              <w:left w:val="nil"/>
              <w:bottom w:val="single" w:color="auto" w:sz="4" w:space="0"/>
              <w:right w:val="single" w:color="000000" w:sz="4" w:space="0"/>
            </w:tcBorders>
            <w:vAlign w:val="center"/>
          </w:tcPr>
          <w:p w14:paraId="50F88DF1">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含税单价</w:t>
            </w:r>
          </w:p>
        </w:tc>
        <w:tc>
          <w:tcPr>
            <w:tcW w:w="682" w:type="dxa"/>
            <w:tcBorders>
              <w:top w:val="single" w:color="000000" w:sz="4" w:space="0"/>
              <w:left w:val="nil"/>
              <w:bottom w:val="single" w:color="auto" w:sz="4" w:space="0"/>
              <w:right w:val="single" w:color="000000" w:sz="4" w:space="0"/>
            </w:tcBorders>
            <w:vAlign w:val="center"/>
          </w:tcPr>
          <w:p w14:paraId="6A6A27EC">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r>
              <w:rPr>
                <w:rFonts w:hint="eastAsia" w:ascii="楷体" w:hAnsi="楷体" w:eastAsia="楷体" w:cs="楷体"/>
                <w:color w:val="000000" w:themeColor="text1"/>
                <w:kern w:val="2"/>
                <w:sz w:val="24"/>
                <w:szCs w:val="24"/>
                <w:highlight w:val="none"/>
                <w14:textFill>
                  <w14:solidFill>
                    <w14:schemeClr w14:val="tx1"/>
                  </w14:solidFill>
                </w14:textFill>
              </w:rPr>
              <w:t>备注</w:t>
            </w:r>
          </w:p>
        </w:tc>
      </w:tr>
      <w:tr w14:paraId="16492E76">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2A75A1BF">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2341" w:type="dxa"/>
            <w:tcBorders>
              <w:top w:val="single" w:color="000000" w:sz="4" w:space="0"/>
              <w:left w:val="nil"/>
              <w:bottom w:val="single" w:color="000000" w:sz="4" w:space="0"/>
              <w:right w:val="single" w:color="000000" w:sz="4" w:space="0"/>
            </w:tcBorders>
            <w:vAlign w:val="center"/>
          </w:tcPr>
          <w:p w14:paraId="7DCAE6A3">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石灰石</w:t>
            </w:r>
          </w:p>
        </w:tc>
        <w:tc>
          <w:tcPr>
            <w:tcW w:w="2158" w:type="dxa"/>
            <w:tcBorders>
              <w:top w:val="single" w:color="000000" w:sz="4" w:space="0"/>
              <w:left w:val="nil"/>
              <w:bottom w:val="single" w:color="000000" w:sz="4" w:space="0"/>
              <w:right w:val="single" w:color="000000" w:sz="4" w:space="0"/>
            </w:tcBorders>
            <w:vAlign w:val="center"/>
          </w:tcPr>
          <w:p w14:paraId="6BFEFBA4">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5-10mm</w:t>
            </w:r>
          </w:p>
        </w:tc>
        <w:tc>
          <w:tcPr>
            <w:tcW w:w="711" w:type="dxa"/>
            <w:tcBorders>
              <w:top w:val="single" w:color="000000" w:sz="4" w:space="0"/>
              <w:left w:val="nil"/>
              <w:bottom w:val="single" w:color="000000" w:sz="4" w:space="0"/>
              <w:right w:val="single" w:color="000000" w:sz="4" w:space="0"/>
            </w:tcBorders>
            <w:vAlign w:val="center"/>
          </w:tcPr>
          <w:p w14:paraId="3008A94E">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5753F05F">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4A3960F3">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13889D42">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108812BA">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2341" w:type="dxa"/>
            <w:tcBorders>
              <w:top w:val="single" w:color="000000" w:sz="4" w:space="0"/>
              <w:left w:val="nil"/>
              <w:bottom w:val="single" w:color="000000" w:sz="4" w:space="0"/>
              <w:right w:val="single" w:color="000000" w:sz="4" w:space="0"/>
            </w:tcBorders>
            <w:vAlign w:val="center"/>
          </w:tcPr>
          <w:p w14:paraId="4F432357">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石灰石</w:t>
            </w:r>
          </w:p>
        </w:tc>
        <w:tc>
          <w:tcPr>
            <w:tcW w:w="2158" w:type="dxa"/>
            <w:tcBorders>
              <w:top w:val="single" w:color="000000" w:sz="4" w:space="0"/>
              <w:left w:val="nil"/>
              <w:bottom w:val="single" w:color="000000" w:sz="4" w:space="0"/>
              <w:right w:val="single" w:color="000000" w:sz="4" w:space="0"/>
            </w:tcBorders>
            <w:vAlign w:val="center"/>
          </w:tcPr>
          <w:p w14:paraId="5DAF9C2B">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5-20mm</w:t>
            </w:r>
          </w:p>
        </w:tc>
        <w:tc>
          <w:tcPr>
            <w:tcW w:w="711" w:type="dxa"/>
            <w:tcBorders>
              <w:top w:val="single" w:color="000000" w:sz="4" w:space="0"/>
              <w:left w:val="nil"/>
              <w:bottom w:val="single" w:color="000000" w:sz="4" w:space="0"/>
              <w:right w:val="single" w:color="000000" w:sz="4" w:space="0"/>
            </w:tcBorders>
            <w:vAlign w:val="center"/>
          </w:tcPr>
          <w:p w14:paraId="3506F61D">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671C7DDD">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4B15847D">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1C645DE9">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7B05AB63">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2341" w:type="dxa"/>
            <w:tcBorders>
              <w:top w:val="single" w:color="000000" w:sz="4" w:space="0"/>
              <w:left w:val="nil"/>
              <w:bottom w:val="single" w:color="000000" w:sz="4" w:space="0"/>
              <w:right w:val="single" w:color="000000" w:sz="4" w:space="0"/>
            </w:tcBorders>
            <w:vAlign w:val="center"/>
          </w:tcPr>
          <w:p w14:paraId="238D00EF">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石灰石</w:t>
            </w:r>
          </w:p>
        </w:tc>
        <w:tc>
          <w:tcPr>
            <w:tcW w:w="2158" w:type="dxa"/>
            <w:tcBorders>
              <w:top w:val="single" w:color="000000" w:sz="4" w:space="0"/>
              <w:left w:val="nil"/>
              <w:bottom w:val="single" w:color="000000" w:sz="4" w:space="0"/>
              <w:right w:val="single" w:color="000000" w:sz="4" w:space="0"/>
            </w:tcBorders>
            <w:vAlign w:val="center"/>
          </w:tcPr>
          <w:p w14:paraId="73698FFC">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16-25mm</w:t>
            </w:r>
          </w:p>
        </w:tc>
        <w:tc>
          <w:tcPr>
            <w:tcW w:w="711" w:type="dxa"/>
            <w:tcBorders>
              <w:top w:val="single" w:color="000000" w:sz="4" w:space="0"/>
              <w:left w:val="nil"/>
              <w:bottom w:val="single" w:color="000000" w:sz="4" w:space="0"/>
              <w:right w:val="single" w:color="000000" w:sz="4" w:space="0"/>
            </w:tcBorders>
            <w:vAlign w:val="center"/>
          </w:tcPr>
          <w:p w14:paraId="33C5BB79">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43B5CD6D">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3096987A">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748DFFEC">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51736219">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2341" w:type="dxa"/>
            <w:tcBorders>
              <w:top w:val="single" w:color="000000" w:sz="4" w:space="0"/>
              <w:left w:val="nil"/>
              <w:bottom w:val="single" w:color="000000" w:sz="4" w:space="0"/>
              <w:right w:val="single" w:color="000000" w:sz="4" w:space="0"/>
            </w:tcBorders>
            <w:vAlign w:val="center"/>
          </w:tcPr>
          <w:p w14:paraId="52874A99">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石灰石</w:t>
            </w:r>
          </w:p>
        </w:tc>
        <w:tc>
          <w:tcPr>
            <w:tcW w:w="2158" w:type="dxa"/>
            <w:tcBorders>
              <w:top w:val="single" w:color="000000" w:sz="4" w:space="0"/>
              <w:left w:val="nil"/>
              <w:bottom w:val="single" w:color="000000" w:sz="4" w:space="0"/>
              <w:right w:val="single" w:color="000000" w:sz="4" w:space="0"/>
            </w:tcBorders>
            <w:vAlign w:val="center"/>
          </w:tcPr>
          <w:p w14:paraId="2B45B08A">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10-16mm</w:t>
            </w:r>
          </w:p>
        </w:tc>
        <w:tc>
          <w:tcPr>
            <w:tcW w:w="711" w:type="dxa"/>
            <w:tcBorders>
              <w:top w:val="single" w:color="000000" w:sz="4" w:space="0"/>
              <w:left w:val="nil"/>
              <w:bottom w:val="single" w:color="000000" w:sz="4" w:space="0"/>
              <w:right w:val="single" w:color="000000" w:sz="4" w:space="0"/>
            </w:tcBorders>
            <w:vAlign w:val="center"/>
          </w:tcPr>
          <w:p w14:paraId="2B92799F">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2D509A49">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083BADFA">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253FC402">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069FF21B">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2341" w:type="dxa"/>
            <w:tcBorders>
              <w:top w:val="single" w:color="000000" w:sz="4" w:space="0"/>
              <w:left w:val="nil"/>
              <w:bottom w:val="single" w:color="000000" w:sz="4" w:space="0"/>
              <w:right w:val="single" w:color="000000" w:sz="4" w:space="0"/>
            </w:tcBorders>
            <w:vAlign w:val="center"/>
          </w:tcPr>
          <w:p w14:paraId="4117A28B">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石灰石</w:t>
            </w:r>
          </w:p>
        </w:tc>
        <w:tc>
          <w:tcPr>
            <w:tcW w:w="2158" w:type="dxa"/>
            <w:tcBorders>
              <w:top w:val="single" w:color="000000" w:sz="4" w:space="0"/>
              <w:left w:val="nil"/>
              <w:bottom w:val="single" w:color="000000" w:sz="4" w:space="0"/>
              <w:right w:val="single" w:color="000000" w:sz="4" w:space="0"/>
            </w:tcBorders>
            <w:vAlign w:val="center"/>
          </w:tcPr>
          <w:p w14:paraId="42C372D5">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25-31.5mm</w:t>
            </w:r>
          </w:p>
        </w:tc>
        <w:tc>
          <w:tcPr>
            <w:tcW w:w="711" w:type="dxa"/>
            <w:tcBorders>
              <w:top w:val="single" w:color="000000" w:sz="4" w:space="0"/>
              <w:left w:val="nil"/>
              <w:bottom w:val="single" w:color="000000" w:sz="4" w:space="0"/>
              <w:right w:val="single" w:color="000000" w:sz="4" w:space="0"/>
            </w:tcBorders>
            <w:vAlign w:val="center"/>
          </w:tcPr>
          <w:p w14:paraId="5F192207">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623B5FC6">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1AD62B17">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554F59D1">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1A4F527A">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p>
        </w:tc>
        <w:tc>
          <w:tcPr>
            <w:tcW w:w="2341" w:type="dxa"/>
            <w:tcBorders>
              <w:top w:val="single" w:color="000000" w:sz="4" w:space="0"/>
              <w:left w:val="nil"/>
              <w:bottom w:val="single" w:color="000000" w:sz="4" w:space="0"/>
              <w:right w:val="single" w:color="000000" w:sz="4" w:space="0"/>
            </w:tcBorders>
            <w:vAlign w:val="center"/>
          </w:tcPr>
          <w:p w14:paraId="701BCC50">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机制砂-石灰石</w:t>
            </w:r>
          </w:p>
        </w:tc>
        <w:tc>
          <w:tcPr>
            <w:tcW w:w="2158" w:type="dxa"/>
            <w:tcBorders>
              <w:top w:val="single" w:color="000000" w:sz="4" w:space="0"/>
              <w:left w:val="nil"/>
              <w:bottom w:val="single" w:color="000000" w:sz="4" w:space="0"/>
              <w:right w:val="single" w:color="000000" w:sz="4" w:space="0"/>
            </w:tcBorders>
            <w:vAlign w:val="center"/>
          </w:tcPr>
          <w:p w14:paraId="757A0987">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干法3.7-3.1</w:t>
            </w:r>
          </w:p>
        </w:tc>
        <w:tc>
          <w:tcPr>
            <w:tcW w:w="711" w:type="dxa"/>
            <w:tcBorders>
              <w:top w:val="single" w:color="000000" w:sz="4" w:space="0"/>
              <w:left w:val="nil"/>
              <w:bottom w:val="single" w:color="000000" w:sz="4" w:space="0"/>
              <w:right w:val="single" w:color="000000" w:sz="4" w:space="0"/>
            </w:tcBorders>
            <w:vAlign w:val="center"/>
          </w:tcPr>
          <w:p w14:paraId="65CC729B">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6F559A2B">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4208591C">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1717804F">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60358E2D">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p>
        </w:tc>
        <w:tc>
          <w:tcPr>
            <w:tcW w:w="2341" w:type="dxa"/>
            <w:tcBorders>
              <w:top w:val="single" w:color="000000" w:sz="4" w:space="0"/>
              <w:left w:val="nil"/>
              <w:bottom w:val="single" w:color="000000" w:sz="4" w:space="0"/>
              <w:right w:val="single" w:color="000000" w:sz="4" w:space="0"/>
            </w:tcBorders>
            <w:vAlign w:val="center"/>
          </w:tcPr>
          <w:p w14:paraId="019C39BB">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机制砂-石灰石</w:t>
            </w:r>
          </w:p>
        </w:tc>
        <w:tc>
          <w:tcPr>
            <w:tcW w:w="2158" w:type="dxa"/>
            <w:tcBorders>
              <w:top w:val="single" w:color="000000" w:sz="4" w:space="0"/>
              <w:left w:val="nil"/>
              <w:bottom w:val="single" w:color="000000" w:sz="4" w:space="0"/>
              <w:right w:val="single" w:color="000000" w:sz="4" w:space="0"/>
            </w:tcBorders>
            <w:vAlign w:val="center"/>
          </w:tcPr>
          <w:p w14:paraId="615F6531">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干法3.0-2.3</w:t>
            </w:r>
          </w:p>
        </w:tc>
        <w:tc>
          <w:tcPr>
            <w:tcW w:w="711" w:type="dxa"/>
            <w:tcBorders>
              <w:top w:val="single" w:color="000000" w:sz="4" w:space="0"/>
              <w:left w:val="nil"/>
              <w:bottom w:val="single" w:color="000000" w:sz="4" w:space="0"/>
              <w:right w:val="single" w:color="000000" w:sz="4" w:space="0"/>
            </w:tcBorders>
            <w:vAlign w:val="center"/>
          </w:tcPr>
          <w:p w14:paraId="23B9F3BA">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2FC7ED3B">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23E4AEED">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221C3D9D">
        <w:tblPrEx>
          <w:tblCellMar>
            <w:top w:w="0" w:type="dxa"/>
            <w:left w:w="108" w:type="dxa"/>
            <w:bottom w:w="0" w:type="dxa"/>
            <w:right w:w="108" w:type="dxa"/>
          </w:tblCellMar>
        </w:tblPrEx>
        <w:trPr>
          <w:trHeight w:val="872"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7BA211BD">
            <w:pPr>
              <w:widowControl/>
              <w:jc w:val="center"/>
              <w:textAlignment w:val="center"/>
              <w:rPr>
                <w:rFonts w:hint="eastAsia" w:ascii="楷体" w:hAnsi="楷体" w:eastAsia="楷体" w:cs="楷体"/>
                <w:color w:val="000000" w:themeColor="text1"/>
                <w:kern w:val="2"/>
                <w:sz w:val="24"/>
                <w:szCs w:val="24"/>
                <w:highlight w:val="none"/>
                <w:lang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w:t>
            </w:r>
          </w:p>
        </w:tc>
        <w:tc>
          <w:tcPr>
            <w:tcW w:w="2341" w:type="dxa"/>
            <w:tcBorders>
              <w:top w:val="single" w:color="000000" w:sz="4" w:space="0"/>
              <w:left w:val="nil"/>
              <w:bottom w:val="single" w:color="000000" w:sz="4" w:space="0"/>
              <w:right w:val="single" w:color="000000" w:sz="4" w:space="0"/>
            </w:tcBorders>
            <w:vAlign w:val="center"/>
          </w:tcPr>
          <w:p w14:paraId="138F84F6">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石粉-石灰石</w:t>
            </w:r>
          </w:p>
        </w:tc>
        <w:tc>
          <w:tcPr>
            <w:tcW w:w="2158" w:type="dxa"/>
            <w:tcBorders>
              <w:top w:val="single" w:color="000000" w:sz="4" w:space="0"/>
              <w:left w:val="nil"/>
              <w:bottom w:val="single" w:color="000000" w:sz="4" w:space="0"/>
              <w:right w:val="single" w:color="000000" w:sz="4" w:space="0"/>
            </w:tcBorders>
            <w:vAlign w:val="center"/>
          </w:tcPr>
          <w:p w14:paraId="03EC8A3E">
            <w:pPr>
              <w:widowControl/>
              <w:kinsoku/>
              <w:autoSpaceDE/>
              <w:autoSpaceDN/>
              <w:adjustRightInd/>
              <w:snapToGrid/>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snapToGrid/>
                <w:color w:val="000000" w:themeColor="text1"/>
                <w:kern w:val="2"/>
                <w:sz w:val="24"/>
                <w:szCs w:val="24"/>
                <w:highlight w:val="none"/>
                <w:lang w:bidi="ar"/>
                <w14:textFill>
                  <w14:solidFill>
                    <w14:schemeClr w14:val="tx1"/>
                  </w14:solidFill>
                </w14:textFill>
              </w:rPr>
              <w:t>0-0.075</w:t>
            </w:r>
          </w:p>
        </w:tc>
        <w:tc>
          <w:tcPr>
            <w:tcW w:w="711" w:type="dxa"/>
            <w:tcBorders>
              <w:top w:val="single" w:color="000000" w:sz="4" w:space="0"/>
              <w:left w:val="nil"/>
              <w:bottom w:val="single" w:color="000000" w:sz="4" w:space="0"/>
              <w:right w:val="single" w:color="000000" w:sz="4" w:space="0"/>
            </w:tcBorders>
            <w:vAlign w:val="center"/>
          </w:tcPr>
          <w:p w14:paraId="24801AD5">
            <w:pPr>
              <w:widowControl/>
              <w:spacing w:before="0" w:afterAutospacing="1"/>
              <w:ind w:left="0" w:firstLineChars="0"/>
              <w:jc w:val="center"/>
              <w:textAlignment w:val="center"/>
              <w:rPr>
                <w:rFonts w:ascii="楷体" w:hAnsi="楷体" w:eastAsia="楷体" w:cs="楷体"/>
                <w:color w:val="000000" w:themeColor="text1"/>
                <w:kern w:val="0"/>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bidi="ar"/>
                <w14:textFill>
                  <w14:solidFill>
                    <w14:schemeClr w14:val="tx1"/>
                  </w14:solidFill>
                </w14:textFill>
              </w:rPr>
              <w:t>吨</w:t>
            </w:r>
          </w:p>
        </w:tc>
        <w:tc>
          <w:tcPr>
            <w:tcW w:w="1439" w:type="dxa"/>
            <w:tcBorders>
              <w:top w:val="single" w:color="auto" w:sz="4" w:space="0"/>
              <w:left w:val="single" w:color="auto" w:sz="4" w:space="0"/>
              <w:bottom w:val="single" w:color="auto" w:sz="4" w:space="0"/>
              <w:right w:val="single" w:color="auto" w:sz="4" w:space="0"/>
            </w:tcBorders>
            <w:noWrap/>
            <w:vAlign w:val="center"/>
          </w:tcPr>
          <w:p w14:paraId="61921A98">
            <w:pPr>
              <w:jc w:val="center"/>
              <w:textAlignment w:val="center"/>
              <w:rPr>
                <w:rFonts w:hint="eastAsia" w:ascii="楷体" w:hAnsi="楷体" w:eastAsia="楷体" w:cs="楷体"/>
                <w:color w:val="000000" w:themeColor="text1"/>
                <w:kern w:val="2"/>
                <w:sz w:val="24"/>
                <w:szCs w:val="24"/>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tcPr>
          <w:p w14:paraId="3D13226B">
            <w:pPr>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271931B7">
        <w:tblPrEx>
          <w:tblCellMar>
            <w:top w:w="0" w:type="dxa"/>
            <w:left w:w="108" w:type="dxa"/>
            <w:bottom w:w="0" w:type="dxa"/>
            <w:right w:w="108" w:type="dxa"/>
          </w:tblCellMar>
        </w:tblPrEx>
        <w:trPr>
          <w:trHeight w:val="758" w:hRule="atLeast"/>
        </w:trPr>
        <w:tc>
          <w:tcPr>
            <w:tcW w:w="1005" w:type="dxa"/>
            <w:tcBorders>
              <w:top w:val="single" w:color="000000" w:sz="4" w:space="0"/>
              <w:left w:val="single" w:color="000000" w:sz="4" w:space="0"/>
              <w:bottom w:val="single" w:color="000000" w:sz="4" w:space="0"/>
              <w:right w:val="single" w:color="000000" w:sz="4" w:space="0"/>
            </w:tcBorders>
            <w:vAlign w:val="center"/>
          </w:tcPr>
          <w:p w14:paraId="3074623D">
            <w:pPr>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p>
        </w:tc>
        <w:tc>
          <w:tcPr>
            <w:tcW w:w="2341" w:type="dxa"/>
            <w:tcBorders>
              <w:top w:val="single" w:color="000000" w:sz="4" w:space="0"/>
              <w:left w:val="nil"/>
              <w:bottom w:val="single" w:color="000000" w:sz="4" w:space="0"/>
              <w:right w:val="single" w:color="000000" w:sz="4" w:space="0"/>
            </w:tcBorders>
            <w:vAlign w:val="center"/>
          </w:tcPr>
          <w:p w14:paraId="7BE98C75">
            <w:pPr>
              <w:jc w:val="center"/>
              <w:textAlignment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提供增值税专用发票税率</w:t>
            </w:r>
          </w:p>
        </w:tc>
        <w:tc>
          <w:tcPr>
            <w:tcW w:w="4990" w:type="dxa"/>
            <w:gridSpan w:val="4"/>
            <w:tcBorders>
              <w:top w:val="single" w:color="000000" w:sz="4" w:space="0"/>
              <w:left w:val="nil"/>
              <w:bottom w:val="single" w:color="000000" w:sz="4" w:space="0"/>
              <w:right w:val="single" w:color="000000" w:sz="4" w:space="0"/>
            </w:tcBorders>
            <w:noWrap/>
            <w:vAlign w:val="center"/>
          </w:tcPr>
          <w:p w14:paraId="49BE5D96">
            <w:pPr>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13%</w:t>
            </w:r>
          </w:p>
        </w:tc>
      </w:tr>
      <w:tr w14:paraId="496FD7DF">
        <w:tblPrEx>
          <w:tblCellMar>
            <w:top w:w="0" w:type="dxa"/>
            <w:left w:w="108" w:type="dxa"/>
            <w:bottom w:w="0" w:type="dxa"/>
            <w:right w:w="108" w:type="dxa"/>
          </w:tblCellMar>
        </w:tblPrEx>
        <w:trPr>
          <w:trHeight w:val="1098" w:hRule="atLeast"/>
        </w:trPr>
        <w:tc>
          <w:tcPr>
            <w:tcW w:w="8336" w:type="dxa"/>
            <w:gridSpan w:val="6"/>
            <w:tcBorders>
              <w:top w:val="single" w:color="000000" w:sz="4" w:space="0"/>
              <w:left w:val="single" w:color="000000" w:sz="4" w:space="0"/>
              <w:bottom w:val="single" w:color="000000" w:sz="4" w:space="0"/>
              <w:right w:val="single" w:color="000000" w:sz="4" w:space="0"/>
            </w:tcBorders>
            <w:vAlign w:val="center"/>
          </w:tcPr>
          <w:p w14:paraId="4F7DF0C0">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注：</w:t>
            </w:r>
          </w:p>
          <w:p w14:paraId="0C94F461">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投标单价包括货物价款、供应商出售该物资应缴纳税金及一切税费、包装费、保险费、运输费、装卸费以及其他运抵至甲方指定交货地点的一切费用，包括售后服务等的各类风险费用，以及其他所有相关服务费用。当市场上该产品价格变动较大时，根据供应商书面《调价通知函》，双方可协商对此单价进行调整。</w:t>
            </w:r>
          </w:p>
          <w:p w14:paraId="4359C3B7">
            <w:pPr>
              <w:pStyle w:val="2"/>
              <w:spacing w:before="20" w:after="0"/>
              <w:rPr>
                <w:rFonts w:hint="eastAsia" w:eastAsia="仿宋"/>
                <w:lang w:eastAsia="zh-CN"/>
              </w:rPr>
            </w:pPr>
            <w:r>
              <w:rPr>
                <w:rFonts w:hint="eastAsia" w:ascii="楷体" w:hAnsi="楷体" w:eastAsia="楷体" w:cs="楷体"/>
                <w:bCs w:val="0"/>
                <w:color w:val="000000" w:themeColor="text1"/>
                <w:sz w:val="24"/>
                <w:szCs w:val="24"/>
                <w:highlight w:val="none"/>
                <w:lang w:val="en-US" w:eastAsia="zh-CN"/>
                <w14:textFill>
                  <w14:solidFill>
                    <w14:schemeClr w14:val="tx1"/>
                  </w14:solidFill>
                </w14:textFill>
              </w:rPr>
              <w:t>2.</w:t>
            </w:r>
            <w:r>
              <w:rPr>
                <w:rFonts w:hint="eastAsia" w:ascii="楷体" w:hAnsi="楷体" w:eastAsia="楷体" w:cs="楷体"/>
                <w:bCs w:val="0"/>
                <w:color w:val="000000" w:themeColor="text1"/>
                <w:sz w:val="24"/>
                <w:szCs w:val="24"/>
                <w:highlight w:val="none"/>
                <w14:textFill>
                  <w14:solidFill>
                    <w14:schemeClr w14:val="tx1"/>
                  </w14:solidFill>
                </w14:textFill>
              </w:rPr>
              <w:t>甲方指定交货地点：</w:t>
            </w:r>
            <w:r>
              <w:rPr>
                <w:rFonts w:hint="eastAsia" w:ascii="楷体" w:hAnsi="楷体" w:eastAsia="楷体" w:cs="楷体"/>
                <w:bCs w:val="0"/>
                <w:snapToGrid/>
                <w:color w:val="000000" w:themeColor="text1"/>
                <w:spacing w:val="0"/>
                <w:kern w:val="2"/>
                <w:sz w:val="24"/>
                <w:szCs w:val="24"/>
                <w:highlight w:val="none"/>
                <w14:textFill>
                  <w14:solidFill>
                    <w14:schemeClr w14:val="tx1"/>
                  </w14:solidFill>
                </w14:textFill>
              </w:rPr>
              <w:t>洋浦开发区</w:t>
            </w:r>
            <w:r>
              <w:rPr>
                <w:rFonts w:hint="eastAsia" w:ascii="楷体" w:hAnsi="楷体" w:eastAsia="楷体" w:cs="楷体"/>
                <w:bCs w:val="0"/>
                <w:color w:val="000000" w:themeColor="text1"/>
                <w:sz w:val="24"/>
                <w:szCs w:val="24"/>
                <w:highlight w:val="none"/>
                <w14:textFill>
                  <w14:solidFill>
                    <w14:schemeClr w14:val="tx1"/>
                  </w14:solidFill>
                </w14:textFill>
              </w:rPr>
              <w:t>或</w:t>
            </w:r>
            <w:r>
              <w:rPr>
                <w:rFonts w:hint="eastAsia" w:ascii="楷体" w:hAnsi="楷体" w:eastAsia="楷体" w:cs="楷体"/>
                <w:bCs w:val="0"/>
                <w:snapToGrid/>
                <w:color w:val="000000" w:themeColor="text1"/>
                <w:spacing w:val="0"/>
                <w:kern w:val="2"/>
                <w:sz w:val="24"/>
                <w:szCs w:val="24"/>
                <w:highlight w:val="none"/>
                <w14:textFill>
                  <w14:solidFill>
                    <w14:schemeClr w14:val="tx1"/>
                  </w14:solidFill>
                </w14:textFill>
              </w:rPr>
              <w:t>儋州东成镇项目所在地</w:t>
            </w:r>
            <w:r>
              <w:rPr>
                <w:rFonts w:hint="eastAsia" w:ascii="楷体" w:hAnsi="楷体" w:eastAsia="楷体" w:cs="楷体"/>
                <w:bCs w:val="0"/>
                <w:snapToGrid/>
                <w:color w:val="000000" w:themeColor="text1"/>
                <w:spacing w:val="0"/>
                <w:kern w:val="2"/>
                <w:sz w:val="24"/>
                <w:szCs w:val="24"/>
                <w:highlight w:val="none"/>
                <w:lang w:eastAsia="zh-CN"/>
                <w14:textFill>
                  <w14:solidFill>
                    <w14:schemeClr w14:val="tx1"/>
                  </w14:solidFill>
                </w14:textFill>
              </w:rPr>
              <w:t>。</w:t>
            </w:r>
          </w:p>
        </w:tc>
      </w:tr>
    </w:tbl>
    <w:p w14:paraId="62B96D69">
      <w:pPr>
        <w:rPr>
          <w:rFonts w:hint="eastAsia" w:ascii="楷体" w:hAnsi="楷体" w:eastAsia="楷体" w:cs="楷体"/>
          <w:b/>
          <w:bCs/>
          <w:color w:val="000000" w:themeColor="text1"/>
          <w:sz w:val="24"/>
          <w:szCs w:val="24"/>
          <w:highlight w:val="none"/>
          <w14:textFill>
            <w14:solidFill>
              <w14:schemeClr w14:val="tx1"/>
            </w14:solidFill>
          </w14:textFill>
        </w:rPr>
      </w:pPr>
    </w:p>
    <w:p w14:paraId="7EA74875">
      <w:pPr>
        <w:snapToGrid w:val="0"/>
        <w:spacing w:line="400" w:lineRule="exact"/>
        <w:ind w:firstLine="482" w:firstLineChars="200"/>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 xml:space="preserve">                              报价单位：                 （章）</w:t>
      </w:r>
    </w:p>
    <w:p w14:paraId="72939F3F">
      <w:pPr>
        <w:snapToGrid w:val="0"/>
        <w:spacing w:line="400" w:lineRule="exact"/>
        <w:ind w:firstLine="482" w:firstLineChars="200"/>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 xml:space="preserve">                          法人代表：        （签字/章）</w:t>
      </w:r>
    </w:p>
    <w:p w14:paraId="24511FB6">
      <w:pPr>
        <w:ind w:firstLine="4337" w:firstLineChars="1800"/>
        <w:rPr>
          <w:rFonts w:hint="eastAsia" w:ascii="楷体" w:hAnsi="楷体" w:eastAsia="楷体" w:cs="楷体"/>
          <w:sz w:val="24"/>
          <w:szCs w:val="24"/>
          <w:highlight w:val="none"/>
        </w:rPr>
      </w:pPr>
      <w:r>
        <w:rPr>
          <w:rFonts w:hint="eastAsia" w:ascii="楷体" w:hAnsi="楷体" w:eastAsia="楷体" w:cs="楷体"/>
          <w:b/>
          <w:bCs/>
          <w:sz w:val="24"/>
          <w:szCs w:val="24"/>
          <w:highlight w:val="none"/>
        </w:rPr>
        <w:t>日    期</w:t>
      </w:r>
      <w:r>
        <w:rPr>
          <w:rFonts w:hint="eastAsia" w:ascii="楷体" w:hAnsi="楷体" w:eastAsia="楷体" w:cs="楷体"/>
          <w:sz w:val="24"/>
          <w:szCs w:val="24"/>
          <w:highlight w:val="none"/>
        </w:rPr>
        <w:t>：</w:t>
      </w:r>
      <w:r>
        <w:rPr>
          <w:rFonts w:hint="eastAsia" w:ascii="仿宋" w:hAnsi="仿宋" w:eastAsia="仿宋" w:cs="仿宋"/>
          <w:sz w:val="24"/>
          <w:highlight w:val="none"/>
        </w:rPr>
        <w:br w:type="page"/>
      </w:r>
    </w:p>
    <w:p w14:paraId="0902A0DA">
      <w:pPr>
        <w:pStyle w:val="2"/>
        <w:rPr>
          <w:rFonts w:hint="eastAsia" w:ascii="楷体" w:hAnsi="楷体" w:eastAsia="楷体" w:cs="楷体"/>
          <w:highlight w:val="none"/>
        </w:rPr>
        <w:sectPr>
          <w:pgSz w:w="11906" w:h="16838"/>
          <w:pgMar w:top="1440" w:right="1800" w:bottom="1247" w:left="1800" w:header="851" w:footer="992" w:gutter="0"/>
          <w:cols w:space="0" w:num="1"/>
          <w:docGrid w:type="lines" w:linePitch="312" w:charSpace="0"/>
        </w:sectPr>
      </w:pPr>
    </w:p>
    <w:p w14:paraId="7266CB8A">
      <w:pPr>
        <w:snapToGrid w:val="0"/>
        <w:spacing w:line="480" w:lineRule="auto"/>
        <w:rPr>
          <w:rFonts w:hint="eastAsia" w:ascii="仿宋" w:hAnsi="仿宋" w:eastAsia="仿宋"/>
          <w:sz w:val="24"/>
          <w:szCs w:val="24"/>
          <w:highlight w:val="none"/>
        </w:rPr>
      </w:pPr>
      <w:r>
        <w:rPr>
          <w:rFonts w:hint="eastAsia" w:ascii="仿宋" w:hAnsi="仿宋" w:eastAsia="仿宋"/>
          <w:sz w:val="24"/>
          <w:szCs w:val="24"/>
          <w:highlight w:val="none"/>
        </w:rPr>
        <w:t>附件一：</w:t>
      </w:r>
    </w:p>
    <w:p w14:paraId="6C9B6AC9">
      <w:pPr>
        <w:pStyle w:val="4"/>
        <w:spacing w:before="0" w:after="0" w:line="240" w:lineRule="auto"/>
        <w:jc w:val="center"/>
        <w:rPr>
          <w:rFonts w:hint="eastAsia" w:ascii="仿宋" w:hAnsi="仿宋" w:eastAsia="仿宋"/>
          <w:sz w:val="44"/>
          <w:szCs w:val="44"/>
          <w:highlight w:val="none"/>
        </w:rPr>
      </w:pPr>
      <w:r>
        <w:rPr>
          <w:rFonts w:hint="eastAsia" w:ascii="仿宋" w:hAnsi="仿宋" w:eastAsia="仿宋"/>
          <w:sz w:val="44"/>
          <w:szCs w:val="44"/>
          <w:highlight w:val="none"/>
        </w:rPr>
        <w:t>报价承诺函</w:t>
      </w:r>
    </w:p>
    <w:p w14:paraId="215C9263">
      <w:pPr>
        <w:snapToGrid w:val="0"/>
        <w:spacing w:line="400" w:lineRule="exact"/>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海南洋浦陆海能源发展有限公司：</w:t>
      </w:r>
    </w:p>
    <w:p w14:paraId="7768B30F">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我单位对贵单位所发的公开询价报价文件所有条款予以确认，并进一步承诺如下：</w:t>
      </w:r>
    </w:p>
    <w:p w14:paraId="06AA3127">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1、我单位所报的单价，已充分考虑了公开询价报价文件及采购合同要求成交单位应承担的所有义务及风险，由此造成或可能造成的费用我方已包含在报价中。</w:t>
      </w:r>
    </w:p>
    <w:p w14:paraId="4A2C4B75">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2、若我单位成交，除非贵单位要求，我单位将不主动要求调整采购合同条款。否则，贵单位可以随时取消我单位的成交资格。</w:t>
      </w:r>
    </w:p>
    <w:p w14:paraId="20579A60">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3、我单位承诺不会因贵方对采购合同中的承包范围的调整而产生的异议。</w:t>
      </w:r>
    </w:p>
    <w:p w14:paraId="5BCA2AAB">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4、我单位的《报价承诺函》，将作为合同的组成部分。</w:t>
      </w:r>
    </w:p>
    <w:p w14:paraId="75D3BB22">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5、若我单位没有成交，我单位将不要求贵方做任何解释。</w:t>
      </w:r>
    </w:p>
    <w:p w14:paraId="56BEFF76">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6、若我单位成交，我单位同意本确认函及所有文件作为合同的组成部分，与供货合同具有同样的法律效力。</w:t>
      </w:r>
    </w:p>
    <w:p w14:paraId="785B324C">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7、我单位将严格按照贵单位的要求提供工程所需材料及品牌要求，在供货过程中确保材料复试检测合格，如出现质量问题我单位将及时调换合格材料进场，如因材料质量问题而造成工期延误，我单位承诺接受按照合同违约条款进行处罚，在供货过程中保证供应材料为询比价文件中要求的厂家生产的合格材料，各类质量资料随货同行，并保证各类质量资料真实有效。</w:t>
      </w:r>
    </w:p>
    <w:p w14:paraId="5DA5850B">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8、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按照合同违约条款进行处罚。</w:t>
      </w:r>
    </w:p>
    <w:p w14:paraId="31EDE584">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9、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0E8ACFB9">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10、我单位郑重承诺：我单位对公开询价报价单位提供的公开询价报价文件及合同条款完全接受和遵守。</w:t>
      </w:r>
    </w:p>
    <w:p w14:paraId="7E4FACB8">
      <w:pPr>
        <w:snapToGrid w:val="0"/>
        <w:spacing w:line="400" w:lineRule="exact"/>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11、我单位承诺同意按照贵单位要求办理结算及支付方式；承诺按所提供本单位银行开户许可证的开户行名称及帐号接收结算款，保证不使用委托收款。</w:t>
      </w:r>
    </w:p>
    <w:p w14:paraId="51A1F7BE">
      <w:pPr>
        <w:snapToGrid w:val="0"/>
        <w:spacing w:line="400" w:lineRule="exact"/>
        <w:ind w:firstLine="482" w:firstLineChars="200"/>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 xml:space="preserve">                              报价单位：                 （章）</w:t>
      </w:r>
    </w:p>
    <w:p w14:paraId="4DAA1940">
      <w:pPr>
        <w:snapToGrid w:val="0"/>
        <w:spacing w:line="400" w:lineRule="exact"/>
        <w:ind w:firstLine="482" w:firstLineChars="200"/>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 xml:space="preserve">                联系人及联系电话</w:t>
      </w:r>
    </w:p>
    <w:p w14:paraId="1197954D">
      <w:pPr>
        <w:snapToGrid w:val="0"/>
        <w:spacing w:line="400" w:lineRule="exact"/>
        <w:ind w:firstLine="4337" w:firstLineChars="1800"/>
        <w:rPr>
          <w:rFonts w:hint="eastAsia" w:ascii="仿宋" w:hAnsi="仿宋" w:eastAsia="仿宋"/>
          <w:sz w:val="24"/>
          <w:szCs w:val="24"/>
          <w:highlight w:val="none"/>
        </w:rPr>
      </w:pPr>
      <w:r>
        <w:rPr>
          <w:rFonts w:hint="eastAsia" w:ascii="楷体" w:hAnsi="楷体" w:eastAsia="楷体" w:cs="楷体"/>
          <w:b/>
          <w:bCs/>
          <w:sz w:val="24"/>
          <w:szCs w:val="24"/>
          <w:highlight w:val="none"/>
        </w:rPr>
        <w:t>日    期</w:t>
      </w:r>
      <w:r>
        <w:rPr>
          <w:rFonts w:hint="eastAsia" w:ascii="楷体" w:hAnsi="楷体" w:eastAsia="楷体" w:cs="楷体"/>
          <w:sz w:val="24"/>
          <w:szCs w:val="24"/>
          <w:highlight w:val="none"/>
        </w:rPr>
        <w:t xml:space="preserve">：                                         </w:t>
      </w:r>
      <w:r>
        <w:rPr>
          <w:rFonts w:hint="eastAsia" w:ascii="仿宋" w:hAnsi="仿宋" w:eastAsia="仿宋"/>
          <w:sz w:val="24"/>
          <w:szCs w:val="24"/>
          <w:highlight w:val="none"/>
        </w:rPr>
        <w:br w:type="page"/>
      </w:r>
    </w:p>
    <w:p w14:paraId="7F4777C5">
      <w:pPr>
        <w:snapToGrid w:val="0"/>
        <w:spacing w:line="400" w:lineRule="exact"/>
        <w:jc w:val="left"/>
        <w:outlineLvl w:val="9"/>
        <w:rPr>
          <w:rFonts w:hint="eastAsia" w:ascii="楷体" w:hAnsi="楷体" w:eastAsia="楷体" w:cs="楷体"/>
          <w:sz w:val="24"/>
          <w:szCs w:val="24"/>
          <w:highlight w:val="none"/>
        </w:rPr>
      </w:pPr>
      <w:r>
        <w:rPr>
          <w:rFonts w:hint="eastAsia" w:ascii="楷体" w:hAnsi="楷体" w:eastAsia="楷体" w:cs="楷体"/>
          <w:sz w:val="24"/>
          <w:szCs w:val="24"/>
          <w:highlight w:val="none"/>
        </w:rPr>
        <w:t>附件二：报价单位营业执照</w:t>
      </w:r>
    </w:p>
    <w:p w14:paraId="71E9EE08">
      <w:pPr>
        <w:pStyle w:val="28"/>
        <w:spacing w:line="360" w:lineRule="auto"/>
        <w:ind w:firstLine="0" w:firstLineChars="0"/>
        <w:rPr>
          <w:rFonts w:hint="eastAsia" w:ascii="仿宋" w:hAnsi="仿宋" w:eastAsia="仿宋"/>
          <w:sz w:val="24"/>
          <w:szCs w:val="24"/>
          <w:highlight w:val="none"/>
        </w:rPr>
        <w:sectPr>
          <w:pgSz w:w="11906" w:h="16838"/>
          <w:pgMar w:top="1134" w:right="1797" w:bottom="1361" w:left="1797" w:header="851" w:footer="992" w:gutter="0"/>
          <w:cols w:space="720" w:num="1"/>
          <w:docGrid w:type="lines" w:linePitch="312" w:charSpace="0"/>
        </w:sectPr>
      </w:pPr>
    </w:p>
    <w:p w14:paraId="455D6B36">
      <w:pPr>
        <w:pStyle w:val="28"/>
        <w:spacing w:line="360" w:lineRule="auto"/>
        <w:ind w:firstLine="0" w:firstLineChars="0"/>
        <w:rPr>
          <w:rFonts w:hint="eastAsia" w:ascii="楷体" w:hAnsi="楷体" w:eastAsia="楷体" w:cs="楷体"/>
          <w:bCs/>
          <w:sz w:val="24"/>
          <w:szCs w:val="24"/>
          <w:highlight w:val="none"/>
        </w:rPr>
      </w:pPr>
      <w:r>
        <w:rPr>
          <w:rFonts w:hint="eastAsia" w:ascii="楷体" w:hAnsi="楷体" w:eastAsia="楷体" w:cs="楷体"/>
          <w:bCs/>
          <w:sz w:val="24"/>
          <w:szCs w:val="24"/>
          <w:highlight w:val="none"/>
        </w:rPr>
        <w:t>附件三：无重大违法记录证明材料</w:t>
      </w:r>
    </w:p>
    <w:p w14:paraId="2BE6D075">
      <w:pPr>
        <w:pStyle w:val="28"/>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50D7EA2D">
      <w:pPr>
        <w:pStyle w:val="28"/>
        <w:spacing w:line="360" w:lineRule="auto"/>
        <w:ind w:firstLine="0" w:firstLineChars="0"/>
        <w:jc w:val="both"/>
        <w:rPr>
          <w:rFonts w:hint="eastAsia" w:ascii="楷体" w:hAnsi="楷体" w:eastAsia="楷体" w:cs="楷体"/>
          <w:bCs/>
          <w:kern w:val="2"/>
          <w:sz w:val="24"/>
          <w:szCs w:val="24"/>
          <w:highlight w:val="none"/>
        </w:rPr>
      </w:pPr>
      <w:r>
        <w:rPr>
          <w:rFonts w:hint="eastAsia" w:ascii="楷体" w:hAnsi="楷体" w:eastAsia="楷体" w:cs="楷体"/>
          <w:bCs/>
          <w:kern w:val="2"/>
          <w:sz w:val="24"/>
          <w:szCs w:val="24"/>
          <w:highlight w:val="none"/>
        </w:rPr>
        <w:t>海南洋浦陆海能源发展有限公司 ：</w:t>
      </w:r>
    </w:p>
    <w:p w14:paraId="063F99BE">
      <w:pPr>
        <w:pStyle w:val="28"/>
        <w:spacing w:line="360" w:lineRule="auto"/>
        <w:ind w:firstLine="480"/>
        <w:jc w:val="both"/>
        <w:rPr>
          <w:rFonts w:hint="eastAsia" w:ascii="楷体" w:hAnsi="楷体" w:eastAsia="楷体" w:cs="楷体"/>
          <w:bCs/>
          <w:kern w:val="2"/>
          <w:sz w:val="24"/>
          <w:szCs w:val="24"/>
          <w:highlight w:val="none"/>
        </w:rPr>
      </w:pPr>
      <w:r>
        <w:rPr>
          <w:rFonts w:hint="eastAsia" w:ascii="楷体" w:hAnsi="楷体" w:eastAsia="楷体" w:cs="楷体"/>
          <w:bCs/>
          <w:kern w:val="2"/>
          <w:sz w:val="24"/>
          <w:szCs w:val="24"/>
          <w:highlight w:val="none"/>
        </w:rPr>
        <w:t>我司承诺未被列入中国执行信息公开网（http://zxgk.court.gov.cn/）的“失信被执行人”名单和国家企业信用信息公示系统“严重违法失信名单（黑名单）”。提供上述查询结果网页截图并加盖单位公章）。</w:t>
      </w:r>
    </w:p>
    <w:p w14:paraId="50F9B5E2">
      <w:pPr>
        <w:pStyle w:val="28"/>
        <w:spacing w:line="360" w:lineRule="auto"/>
        <w:ind w:firstLine="0" w:firstLineChars="0"/>
        <w:jc w:val="both"/>
        <w:rPr>
          <w:rFonts w:hint="eastAsia" w:ascii="楷体" w:hAnsi="楷体" w:eastAsia="楷体" w:cs="楷体"/>
          <w:bCs/>
          <w:kern w:val="2"/>
          <w:sz w:val="24"/>
          <w:szCs w:val="24"/>
          <w:highlight w:val="none"/>
        </w:rPr>
      </w:pPr>
      <w:r>
        <w:rPr>
          <w:rFonts w:hint="eastAsia" w:ascii="楷体" w:hAnsi="楷体" w:eastAsia="楷体" w:cs="楷体"/>
          <w:bCs/>
          <w:kern w:val="2"/>
          <w:sz w:val="24"/>
          <w:szCs w:val="24"/>
          <w:highlight w:val="none"/>
        </w:rPr>
        <w:t xml:space="preserve"> </w:t>
      </w:r>
    </w:p>
    <w:p w14:paraId="16C39138">
      <w:pPr>
        <w:pStyle w:val="28"/>
        <w:spacing w:line="360" w:lineRule="auto"/>
        <w:ind w:firstLine="0" w:firstLineChars="0"/>
        <w:jc w:val="both"/>
        <w:rPr>
          <w:rFonts w:hint="eastAsia" w:ascii="楷体" w:hAnsi="楷体" w:eastAsia="楷体" w:cs="楷体"/>
          <w:bCs/>
          <w:kern w:val="2"/>
          <w:sz w:val="24"/>
          <w:szCs w:val="24"/>
          <w:highlight w:val="none"/>
        </w:rPr>
      </w:pPr>
      <w:r>
        <w:rPr>
          <w:rFonts w:hint="eastAsia" w:ascii="楷体" w:hAnsi="楷体" w:eastAsia="楷体" w:cs="楷体"/>
          <w:bCs/>
          <w:kern w:val="2"/>
          <w:sz w:val="24"/>
          <w:szCs w:val="24"/>
          <w:highlight w:val="none"/>
        </w:rPr>
        <w:t xml:space="preserve"> </w:t>
      </w:r>
    </w:p>
    <w:p w14:paraId="67A6DD52">
      <w:pPr>
        <w:pStyle w:val="28"/>
        <w:spacing w:line="360" w:lineRule="auto"/>
        <w:ind w:firstLine="0" w:firstLineChars="0"/>
        <w:jc w:val="both"/>
        <w:rPr>
          <w:rFonts w:hint="eastAsia" w:ascii="楷体" w:hAnsi="楷体" w:eastAsia="楷体" w:cs="楷体"/>
          <w:bCs/>
          <w:kern w:val="2"/>
          <w:sz w:val="24"/>
          <w:szCs w:val="24"/>
          <w:highlight w:val="none"/>
        </w:rPr>
      </w:pPr>
      <w:r>
        <w:rPr>
          <w:rFonts w:hint="eastAsia" w:ascii="楷体" w:hAnsi="楷体" w:eastAsia="楷体" w:cs="楷体"/>
          <w:bCs/>
          <w:kern w:val="2"/>
          <w:sz w:val="24"/>
          <w:szCs w:val="24"/>
          <w:highlight w:val="none"/>
        </w:rPr>
        <w:t xml:space="preserve">  </w:t>
      </w:r>
    </w:p>
    <w:p w14:paraId="078573AD">
      <w:pPr>
        <w:pStyle w:val="28"/>
        <w:spacing w:line="360" w:lineRule="auto"/>
        <w:ind w:firstLine="0" w:firstLineChars="0"/>
        <w:jc w:val="both"/>
        <w:rPr>
          <w:rFonts w:hint="eastAsia" w:ascii="楷体" w:hAnsi="楷体" w:eastAsia="楷体" w:cs="楷体"/>
          <w:bCs/>
          <w:kern w:val="2"/>
          <w:sz w:val="24"/>
          <w:szCs w:val="24"/>
          <w:highlight w:val="none"/>
        </w:rPr>
      </w:pPr>
      <w:r>
        <w:rPr>
          <w:rFonts w:hint="eastAsia" w:ascii="楷体" w:hAnsi="楷体" w:eastAsia="楷体" w:cs="楷体"/>
          <w:bCs/>
          <w:kern w:val="2"/>
          <w:sz w:val="24"/>
          <w:szCs w:val="24"/>
          <w:highlight w:val="none"/>
        </w:rPr>
        <w:t xml:space="preserve"> </w:t>
      </w:r>
    </w:p>
    <w:p w14:paraId="25B36201">
      <w:pPr>
        <w:pStyle w:val="28"/>
        <w:spacing w:line="360" w:lineRule="auto"/>
        <w:ind w:firstLine="0" w:firstLineChars="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                                   供应商：（盖单位章）</w:t>
      </w:r>
    </w:p>
    <w:p w14:paraId="6DC39601">
      <w:pPr>
        <w:pStyle w:val="28"/>
        <w:spacing w:line="360" w:lineRule="auto"/>
        <w:ind w:firstLine="0" w:firstLineChars="0"/>
        <w:jc w:val="right"/>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 </w:t>
      </w:r>
    </w:p>
    <w:p w14:paraId="035E95CF">
      <w:pPr>
        <w:pStyle w:val="28"/>
        <w:spacing w:line="360" w:lineRule="auto"/>
        <w:ind w:firstLine="0" w:firstLineChars="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                                  法定代表人或其被授权人：（签字）</w:t>
      </w:r>
    </w:p>
    <w:p w14:paraId="5EA5D9F9">
      <w:pPr>
        <w:pStyle w:val="28"/>
        <w:spacing w:line="360" w:lineRule="auto"/>
        <w:ind w:firstLine="480"/>
        <w:jc w:val="right"/>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 </w:t>
      </w:r>
    </w:p>
    <w:p w14:paraId="1BA81301">
      <w:pPr>
        <w:pStyle w:val="28"/>
        <w:spacing w:line="360" w:lineRule="auto"/>
        <w:ind w:firstLine="480"/>
        <w:jc w:val="right"/>
        <w:rPr>
          <w:rFonts w:hint="eastAsia" w:ascii="楷体" w:hAnsi="楷体" w:eastAsia="楷体" w:cs="楷体"/>
          <w:bCs/>
          <w:sz w:val="24"/>
          <w:szCs w:val="24"/>
          <w:highlight w:val="none"/>
        </w:rPr>
      </w:pPr>
      <w:r>
        <w:rPr>
          <w:rFonts w:hint="eastAsia" w:ascii="楷体" w:hAnsi="楷体" w:eastAsia="楷体" w:cs="楷体"/>
          <w:bCs/>
          <w:sz w:val="24"/>
          <w:szCs w:val="24"/>
          <w:highlight w:val="none"/>
        </w:rPr>
        <w:t xml:space="preserve">                              年    月    日</w:t>
      </w:r>
    </w:p>
    <w:p w14:paraId="19EDD645">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5441E4CA">
      <w:pPr>
        <w:pStyle w:val="28"/>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7EF2FD69">
      <w:pPr>
        <w:pStyle w:val="28"/>
        <w:spacing w:line="360" w:lineRule="auto"/>
        <w:ind w:firstLine="0" w:firstLineChars="0"/>
        <w:jc w:val="left"/>
        <w:rPr>
          <w:rFonts w:hint="eastAsia" w:ascii="仿宋" w:hAnsi="仿宋" w:eastAsia="仿宋"/>
          <w:kern w:val="44"/>
          <w:sz w:val="24"/>
          <w:szCs w:val="24"/>
          <w:highlight w:val="none"/>
        </w:rPr>
      </w:pPr>
    </w:p>
    <w:p w14:paraId="30253D2C">
      <w:pPr>
        <w:pStyle w:val="39"/>
        <w:spacing w:line="360" w:lineRule="auto"/>
        <w:rPr>
          <w:rFonts w:hint="eastAsia" w:ascii="仿宋" w:hAnsi="仿宋" w:eastAsia="仿宋" w:cs="黑体"/>
          <w:b/>
          <w:kern w:val="0"/>
          <w:sz w:val="24"/>
          <w:szCs w:val="24"/>
          <w:highlight w:val="none"/>
        </w:rPr>
        <w:sectPr>
          <w:pgSz w:w="11906" w:h="16838"/>
          <w:pgMar w:top="1134" w:right="1797" w:bottom="1361" w:left="1797" w:header="851" w:footer="992" w:gutter="0"/>
          <w:cols w:space="720" w:num="1"/>
          <w:docGrid w:type="lines" w:linePitch="312" w:charSpace="0"/>
        </w:sectPr>
      </w:pPr>
    </w:p>
    <w:p w14:paraId="0A15DAE9">
      <w:pPr>
        <w:pStyle w:val="39"/>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037BDF09">
      <w:pPr>
        <w:pStyle w:val="39"/>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以下提供截图截取要求，供参考</w:t>
      </w:r>
    </w:p>
    <w:p w14:paraId="42280D33">
      <w:pPr>
        <w:spacing w:line="400" w:lineRule="exact"/>
        <w:ind w:firstLineChars="0"/>
        <w:outlineLvl w:val="1"/>
        <w:rPr>
          <w:rFonts w:hint="eastAsia" w:ascii="楷体" w:hAnsi="楷体" w:eastAsia="楷体" w:cs="楷体"/>
          <w:b/>
          <w:bCs/>
          <w:color w:val="000000" w:themeColor="text1"/>
          <w:kern w:val="44"/>
          <w:sz w:val="24"/>
          <w:szCs w:val="24"/>
          <w:highlight w:val="none"/>
          <w14:textFill>
            <w14:solidFill>
              <w14:schemeClr w14:val="tx1"/>
            </w14:solidFill>
          </w14:textFill>
        </w:rPr>
      </w:pPr>
    </w:p>
    <w:bookmarkEnd w:id="0"/>
    <w:bookmarkEnd w:id="1"/>
    <w:p w14:paraId="158F2875">
      <w:pPr>
        <w:rPr>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2"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3" name="图片 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300FDC8F">
      <w:pPr>
        <w:pStyle w:val="38"/>
        <w:widowControl/>
        <w:kinsoku w:val="0"/>
        <w:autoSpaceDE w:val="0"/>
        <w:autoSpaceDN w:val="0"/>
        <w:adjustRightInd w:val="0"/>
        <w:snapToGrid w:val="0"/>
        <w:ind w:firstLine="400" w:firstLineChars="200"/>
        <w:textAlignment w:val="baseline"/>
        <w:rPr>
          <w:rFonts w:hint="eastAsia"/>
          <w:highlight w:val="none"/>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C62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94BE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B94BEE">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AD372"/>
    <w:multiLevelType w:val="singleLevel"/>
    <w:tmpl w:val="053AD372"/>
    <w:lvl w:ilvl="0" w:tentative="0">
      <w:start w:val="1"/>
      <w:numFmt w:val="chineseCounting"/>
      <w:suff w:val="nothing"/>
      <w:lvlText w:val="%1、"/>
      <w:lvlJc w:val="left"/>
      <w:rPr>
        <w:rFonts w:hint="eastAsia"/>
      </w:rPr>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TZkMWVjN2QzMzFjNWFmMWM5ZTEwZThkOTFiYjkifQ=="/>
  </w:docVars>
  <w:rsids>
    <w:rsidRoot w:val="00172A27"/>
    <w:rsid w:val="000322C8"/>
    <w:rsid w:val="000551DA"/>
    <w:rsid w:val="0005652E"/>
    <w:rsid w:val="00067AA8"/>
    <w:rsid w:val="0007388E"/>
    <w:rsid w:val="000A07BA"/>
    <w:rsid w:val="000B3947"/>
    <w:rsid w:val="000C2EE7"/>
    <w:rsid w:val="0012048B"/>
    <w:rsid w:val="001625F2"/>
    <w:rsid w:val="00165A1D"/>
    <w:rsid w:val="00172A27"/>
    <w:rsid w:val="00184E74"/>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84BCC"/>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67F34"/>
    <w:rsid w:val="029810C9"/>
    <w:rsid w:val="029A3510"/>
    <w:rsid w:val="02AC3328"/>
    <w:rsid w:val="02B97306"/>
    <w:rsid w:val="02C62D99"/>
    <w:rsid w:val="02C649F6"/>
    <w:rsid w:val="02D264D3"/>
    <w:rsid w:val="02D62AD3"/>
    <w:rsid w:val="02E77606"/>
    <w:rsid w:val="02EF201E"/>
    <w:rsid w:val="02F900F0"/>
    <w:rsid w:val="030A27A5"/>
    <w:rsid w:val="030A5E0C"/>
    <w:rsid w:val="03173959"/>
    <w:rsid w:val="03215A31"/>
    <w:rsid w:val="032711A2"/>
    <w:rsid w:val="035C1B9B"/>
    <w:rsid w:val="03655CA8"/>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64C55"/>
    <w:rsid w:val="057766D7"/>
    <w:rsid w:val="05800CAE"/>
    <w:rsid w:val="058B32AA"/>
    <w:rsid w:val="05964237"/>
    <w:rsid w:val="05A07863"/>
    <w:rsid w:val="05AA0535"/>
    <w:rsid w:val="05BA56F5"/>
    <w:rsid w:val="05C00463"/>
    <w:rsid w:val="05CA70D4"/>
    <w:rsid w:val="05EF1B36"/>
    <w:rsid w:val="05F7537D"/>
    <w:rsid w:val="063D3E8F"/>
    <w:rsid w:val="063E4AA0"/>
    <w:rsid w:val="06456A8C"/>
    <w:rsid w:val="0647794F"/>
    <w:rsid w:val="064F2365"/>
    <w:rsid w:val="06606BFB"/>
    <w:rsid w:val="066958C6"/>
    <w:rsid w:val="066B1C96"/>
    <w:rsid w:val="06B0129E"/>
    <w:rsid w:val="06B81D95"/>
    <w:rsid w:val="06D12E83"/>
    <w:rsid w:val="06EE69EC"/>
    <w:rsid w:val="06F82B7E"/>
    <w:rsid w:val="07571D11"/>
    <w:rsid w:val="07826A4B"/>
    <w:rsid w:val="07861CBD"/>
    <w:rsid w:val="07BF12C2"/>
    <w:rsid w:val="07C6738E"/>
    <w:rsid w:val="07E74A05"/>
    <w:rsid w:val="084F59DE"/>
    <w:rsid w:val="087D7EB4"/>
    <w:rsid w:val="088038FF"/>
    <w:rsid w:val="08816951"/>
    <w:rsid w:val="08852E3A"/>
    <w:rsid w:val="08B140CE"/>
    <w:rsid w:val="08B54AD9"/>
    <w:rsid w:val="08BC212A"/>
    <w:rsid w:val="08C3763E"/>
    <w:rsid w:val="08C506E5"/>
    <w:rsid w:val="08C52D6F"/>
    <w:rsid w:val="08E46EA7"/>
    <w:rsid w:val="08F700C6"/>
    <w:rsid w:val="090B6406"/>
    <w:rsid w:val="091015D2"/>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A597E"/>
    <w:rsid w:val="0B3E1A17"/>
    <w:rsid w:val="0B5843AD"/>
    <w:rsid w:val="0B7B7DE4"/>
    <w:rsid w:val="0B875DF5"/>
    <w:rsid w:val="0B8C3357"/>
    <w:rsid w:val="0BCC0869"/>
    <w:rsid w:val="0BD32142"/>
    <w:rsid w:val="0BE679DE"/>
    <w:rsid w:val="0BFF0784"/>
    <w:rsid w:val="0C177C63"/>
    <w:rsid w:val="0C6D1CF5"/>
    <w:rsid w:val="0C6E5BE8"/>
    <w:rsid w:val="0C885FA2"/>
    <w:rsid w:val="0CA47578"/>
    <w:rsid w:val="0CB87790"/>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A52D57"/>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7FF4F12"/>
    <w:rsid w:val="18136FA0"/>
    <w:rsid w:val="18143491"/>
    <w:rsid w:val="181D6EA6"/>
    <w:rsid w:val="18492EF0"/>
    <w:rsid w:val="185254F4"/>
    <w:rsid w:val="185C5F13"/>
    <w:rsid w:val="185E6D88"/>
    <w:rsid w:val="186B22C9"/>
    <w:rsid w:val="18740F2C"/>
    <w:rsid w:val="187939A8"/>
    <w:rsid w:val="187E50BF"/>
    <w:rsid w:val="188B0B51"/>
    <w:rsid w:val="18A2459B"/>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9F11D4"/>
    <w:rsid w:val="19A857BB"/>
    <w:rsid w:val="19BA37C2"/>
    <w:rsid w:val="19D94D8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262745"/>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64D0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3C6819"/>
    <w:rsid w:val="22421E2A"/>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A4F00"/>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27E62"/>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463D00"/>
    <w:rsid w:val="26514CEC"/>
    <w:rsid w:val="26517A13"/>
    <w:rsid w:val="26583602"/>
    <w:rsid w:val="26627AEB"/>
    <w:rsid w:val="267473A3"/>
    <w:rsid w:val="267D7CB3"/>
    <w:rsid w:val="267E5C46"/>
    <w:rsid w:val="26D07ABD"/>
    <w:rsid w:val="26EF2570"/>
    <w:rsid w:val="26F65840"/>
    <w:rsid w:val="27207AFE"/>
    <w:rsid w:val="27487441"/>
    <w:rsid w:val="276369CB"/>
    <w:rsid w:val="276A6D97"/>
    <w:rsid w:val="276F6341"/>
    <w:rsid w:val="27801B28"/>
    <w:rsid w:val="2796273C"/>
    <w:rsid w:val="27BC6441"/>
    <w:rsid w:val="27E2757A"/>
    <w:rsid w:val="27FE5562"/>
    <w:rsid w:val="2805028C"/>
    <w:rsid w:val="28077D25"/>
    <w:rsid w:val="28131E3F"/>
    <w:rsid w:val="2826006E"/>
    <w:rsid w:val="28387423"/>
    <w:rsid w:val="283D6A99"/>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473C8D"/>
    <w:rsid w:val="2A567C96"/>
    <w:rsid w:val="2A5C3505"/>
    <w:rsid w:val="2A8320CC"/>
    <w:rsid w:val="2A9867EE"/>
    <w:rsid w:val="2AA6741A"/>
    <w:rsid w:val="2AE35882"/>
    <w:rsid w:val="2B1B6DC7"/>
    <w:rsid w:val="2B251E53"/>
    <w:rsid w:val="2B4D78BA"/>
    <w:rsid w:val="2B585E70"/>
    <w:rsid w:val="2B5B4633"/>
    <w:rsid w:val="2B950295"/>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4E047B"/>
    <w:rsid w:val="2E81295C"/>
    <w:rsid w:val="2E855ADF"/>
    <w:rsid w:val="2E90145A"/>
    <w:rsid w:val="2E9B555A"/>
    <w:rsid w:val="2EA15034"/>
    <w:rsid w:val="2EC47C6B"/>
    <w:rsid w:val="2EE161F9"/>
    <w:rsid w:val="2EE267D3"/>
    <w:rsid w:val="2EEE550E"/>
    <w:rsid w:val="2EFA1321"/>
    <w:rsid w:val="2F0C123B"/>
    <w:rsid w:val="2F104EF5"/>
    <w:rsid w:val="2F241D9C"/>
    <w:rsid w:val="2F39111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DA6A91"/>
    <w:rsid w:val="32E06A79"/>
    <w:rsid w:val="32E12CEE"/>
    <w:rsid w:val="32F02819"/>
    <w:rsid w:val="32F9052C"/>
    <w:rsid w:val="32FB3E09"/>
    <w:rsid w:val="33121AA1"/>
    <w:rsid w:val="3317335F"/>
    <w:rsid w:val="331A4072"/>
    <w:rsid w:val="3332073B"/>
    <w:rsid w:val="333F77DD"/>
    <w:rsid w:val="335860DF"/>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3D2E0A"/>
    <w:rsid w:val="354040E2"/>
    <w:rsid w:val="355C3599"/>
    <w:rsid w:val="356928AF"/>
    <w:rsid w:val="357C78DE"/>
    <w:rsid w:val="35800436"/>
    <w:rsid w:val="358579DE"/>
    <w:rsid w:val="359336F3"/>
    <w:rsid w:val="35A21795"/>
    <w:rsid w:val="35A81A21"/>
    <w:rsid w:val="35B61A9B"/>
    <w:rsid w:val="35B91D36"/>
    <w:rsid w:val="35BF1FB9"/>
    <w:rsid w:val="35DF4003"/>
    <w:rsid w:val="35E574C0"/>
    <w:rsid w:val="360B30A2"/>
    <w:rsid w:val="361B5B4E"/>
    <w:rsid w:val="361D3657"/>
    <w:rsid w:val="36233F9D"/>
    <w:rsid w:val="364C3796"/>
    <w:rsid w:val="364D066D"/>
    <w:rsid w:val="36533F02"/>
    <w:rsid w:val="36772774"/>
    <w:rsid w:val="368215FE"/>
    <w:rsid w:val="369817C2"/>
    <w:rsid w:val="36B25143"/>
    <w:rsid w:val="36CF347B"/>
    <w:rsid w:val="36D97FB8"/>
    <w:rsid w:val="371A59E1"/>
    <w:rsid w:val="37240250"/>
    <w:rsid w:val="377F12BF"/>
    <w:rsid w:val="37816F94"/>
    <w:rsid w:val="37A01A64"/>
    <w:rsid w:val="37BA4F22"/>
    <w:rsid w:val="37E03E2C"/>
    <w:rsid w:val="37F00424"/>
    <w:rsid w:val="37F10FA5"/>
    <w:rsid w:val="3806295D"/>
    <w:rsid w:val="380E0584"/>
    <w:rsid w:val="3812280E"/>
    <w:rsid w:val="381256F7"/>
    <w:rsid w:val="381B7B44"/>
    <w:rsid w:val="38391966"/>
    <w:rsid w:val="383A48CB"/>
    <w:rsid w:val="383B152D"/>
    <w:rsid w:val="384E7E68"/>
    <w:rsid w:val="385333AC"/>
    <w:rsid w:val="389C09BF"/>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494146"/>
    <w:rsid w:val="39610D3F"/>
    <w:rsid w:val="396A7C09"/>
    <w:rsid w:val="39740471"/>
    <w:rsid w:val="39742AB8"/>
    <w:rsid w:val="397D13E9"/>
    <w:rsid w:val="39AC6F0D"/>
    <w:rsid w:val="39C1153F"/>
    <w:rsid w:val="39D15C66"/>
    <w:rsid w:val="39E07088"/>
    <w:rsid w:val="39F17820"/>
    <w:rsid w:val="39F4516C"/>
    <w:rsid w:val="3A130B99"/>
    <w:rsid w:val="3A1741DD"/>
    <w:rsid w:val="3A202475"/>
    <w:rsid w:val="3A235A71"/>
    <w:rsid w:val="3A2A31CC"/>
    <w:rsid w:val="3A394901"/>
    <w:rsid w:val="3A3C5316"/>
    <w:rsid w:val="3A4058BF"/>
    <w:rsid w:val="3A4F4676"/>
    <w:rsid w:val="3A5F45D1"/>
    <w:rsid w:val="3A8227E5"/>
    <w:rsid w:val="3A913A89"/>
    <w:rsid w:val="3AB013BF"/>
    <w:rsid w:val="3AB6148B"/>
    <w:rsid w:val="3AB82B8A"/>
    <w:rsid w:val="3AD7234B"/>
    <w:rsid w:val="3ADE1AD5"/>
    <w:rsid w:val="3AE56805"/>
    <w:rsid w:val="3B132590"/>
    <w:rsid w:val="3B255F79"/>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7E7E94"/>
    <w:rsid w:val="3D9A7321"/>
    <w:rsid w:val="3D9C48F8"/>
    <w:rsid w:val="3DA2472E"/>
    <w:rsid w:val="3DAA2473"/>
    <w:rsid w:val="3E2357D8"/>
    <w:rsid w:val="3E315296"/>
    <w:rsid w:val="3E507BFC"/>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3FF87C8C"/>
    <w:rsid w:val="40083245"/>
    <w:rsid w:val="40185137"/>
    <w:rsid w:val="40201E14"/>
    <w:rsid w:val="402F14D9"/>
    <w:rsid w:val="40306AE7"/>
    <w:rsid w:val="40477AD1"/>
    <w:rsid w:val="405B2D35"/>
    <w:rsid w:val="406608CC"/>
    <w:rsid w:val="406C1FA6"/>
    <w:rsid w:val="407630B7"/>
    <w:rsid w:val="407B0128"/>
    <w:rsid w:val="407E43D4"/>
    <w:rsid w:val="40873868"/>
    <w:rsid w:val="40902190"/>
    <w:rsid w:val="40BC60FB"/>
    <w:rsid w:val="40D75D3F"/>
    <w:rsid w:val="40E42E0D"/>
    <w:rsid w:val="40F8192B"/>
    <w:rsid w:val="41220CAF"/>
    <w:rsid w:val="412E4991"/>
    <w:rsid w:val="412F7CD9"/>
    <w:rsid w:val="413A56F6"/>
    <w:rsid w:val="4165249F"/>
    <w:rsid w:val="41795CD2"/>
    <w:rsid w:val="418A6E14"/>
    <w:rsid w:val="418F1B67"/>
    <w:rsid w:val="41A27872"/>
    <w:rsid w:val="41AC2313"/>
    <w:rsid w:val="41BB44E3"/>
    <w:rsid w:val="41C50675"/>
    <w:rsid w:val="41D23D44"/>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7D2038"/>
    <w:rsid w:val="43904469"/>
    <w:rsid w:val="43933CA0"/>
    <w:rsid w:val="43A82FD5"/>
    <w:rsid w:val="43B91DAA"/>
    <w:rsid w:val="43C83510"/>
    <w:rsid w:val="44081F09"/>
    <w:rsid w:val="440A2F83"/>
    <w:rsid w:val="441901BE"/>
    <w:rsid w:val="445C5D26"/>
    <w:rsid w:val="446921BB"/>
    <w:rsid w:val="446E1F07"/>
    <w:rsid w:val="448B2102"/>
    <w:rsid w:val="449900F5"/>
    <w:rsid w:val="44A4522B"/>
    <w:rsid w:val="44B17003"/>
    <w:rsid w:val="44FC71CE"/>
    <w:rsid w:val="451F55A0"/>
    <w:rsid w:val="45210077"/>
    <w:rsid w:val="453C7D64"/>
    <w:rsid w:val="453F7628"/>
    <w:rsid w:val="45403E4D"/>
    <w:rsid w:val="454050A9"/>
    <w:rsid w:val="45407AB5"/>
    <w:rsid w:val="454E6364"/>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896D74"/>
    <w:rsid w:val="47AB7402"/>
    <w:rsid w:val="47AC276C"/>
    <w:rsid w:val="47AD05EC"/>
    <w:rsid w:val="47AD2D46"/>
    <w:rsid w:val="47E24779"/>
    <w:rsid w:val="47FD0920"/>
    <w:rsid w:val="48136734"/>
    <w:rsid w:val="48141AAF"/>
    <w:rsid w:val="481B3258"/>
    <w:rsid w:val="482728EE"/>
    <w:rsid w:val="483F0D04"/>
    <w:rsid w:val="484539A2"/>
    <w:rsid w:val="485830BD"/>
    <w:rsid w:val="485C3C19"/>
    <w:rsid w:val="487A3570"/>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07902"/>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73334"/>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DEA4CF4"/>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2E9F"/>
    <w:rsid w:val="4F7C649E"/>
    <w:rsid w:val="4F8667E6"/>
    <w:rsid w:val="4F9767CF"/>
    <w:rsid w:val="4FAB0DF3"/>
    <w:rsid w:val="4FB41285"/>
    <w:rsid w:val="4FD458D2"/>
    <w:rsid w:val="4FDE7EBA"/>
    <w:rsid w:val="501036E9"/>
    <w:rsid w:val="50213603"/>
    <w:rsid w:val="503B6F74"/>
    <w:rsid w:val="50480956"/>
    <w:rsid w:val="504815F9"/>
    <w:rsid w:val="5056123F"/>
    <w:rsid w:val="505704B3"/>
    <w:rsid w:val="50591045"/>
    <w:rsid w:val="508558A6"/>
    <w:rsid w:val="508779D5"/>
    <w:rsid w:val="5088682A"/>
    <w:rsid w:val="508C2CB2"/>
    <w:rsid w:val="50997DCA"/>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16012"/>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5C44"/>
    <w:rsid w:val="53186EE4"/>
    <w:rsid w:val="5339007E"/>
    <w:rsid w:val="535C76C6"/>
    <w:rsid w:val="53637DCA"/>
    <w:rsid w:val="537257C5"/>
    <w:rsid w:val="53A157B9"/>
    <w:rsid w:val="53B85768"/>
    <w:rsid w:val="53BA2E6A"/>
    <w:rsid w:val="53C33CD8"/>
    <w:rsid w:val="53C43BC7"/>
    <w:rsid w:val="53D03F5B"/>
    <w:rsid w:val="53D61973"/>
    <w:rsid w:val="53DF5628"/>
    <w:rsid w:val="53F6304F"/>
    <w:rsid w:val="5425031B"/>
    <w:rsid w:val="54534028"/>
    <w:rsid w:val="54537B65"/>
    <w:rsid w:val="5455279C"/>
    <w:rsid w:val="545E27DF"/>
    <w:rsid w:val="54843BB7"/>
    <w:rsid w:val="54FB4AFB"/>
    <w:rsid w:val="552A65AD"/>
    <w:rsid w:val="55402408"/>
    <w:rsid w:val="55413F6A"/>
    <w:rsid w:val="5553267F"/>
    <w:rsid w:val="55584384"/>
    <w:rsid w:val="555A26FB"/>
    <w:rsid w:val="5570591E"/>
    <w:rsid w:val="55821136"/>
    <w:rsid w:val="55934C35"/>
    <w:rsid w:val="559B18F9"/>
    <w:rsid w:val="55A84C13"/>
    <w:rsid w:val="55E8288A"/>
    <w:rsid w:val="55EA5444"/>
    <w:rsid w:val="55F310CC"/>
    <w:rsid w:val="55F70216"/>
    <w:rsid w:val="56013ABB"/>
    <w:rsid w:val="56243D99"/>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2721E3"/>
    <w:rsid w:val="582E554A"/>
    <w:rsid w:val="583D1F4B"/>
    <w:rsid w:val="5841015B"/>
    <w:rsid w:val="58412328"/>
    <w:rsid w:val="584717BE"/>
    <w:rsid w:val="5860518C"/>
    <w:rsid w:val="586256A7"/>
    <w:rsid w:val="58840844"/>
    <w:rsid w:val="588E31D9"/>
    <w:rsid w:val="589C3163"/>
    <w:rsid w:val="58A310F9"/>
    <w:rsid w:val="58A42014"/>
    <w:rsid w:val="58D91F55"/>
    <w:rsid w:val="58E30CBE"/>
    <w:rsid w:val="58E53F4D"/>
    <w:rsid w:val="59144198"/>
    <w:rsid w:val="59456704"/>
    <w:rsid w:val="5950021B"/>
    <w:rsid w:val="59502516"/>
    <w:rsid w:val="5955281D"/>
    <w:rsid w:val="598D6049"/>
    <w:rsid w:val="59A26A9D"/>
    <w:rsid w:val="59B014A3"/>
    <w:rsid w:val="59B05DB3"/>
    <w:rsid w:val="59D04D4F"/>
    <w:rsid w:val="59D51EEC"/>
    <w:rsid w:val="59DA6BF7"/>
    <w:rsid w:val="59E37225"/>
    <w:rsid w:val="59FF03DE"/>
    <w:rsid w:val="5A0C6784"/>
    <w:rsid w:val="5A1B5714"/>
    <w:rsid w:val="5A2921FA"/>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97311"/>
    <w:rsid w:val="5B4C1057"/>
    <w:rsid w:val="5B603D7C"/>
    <w:rsid w:val="5B885541"/>
    <w:rsid w:val="5BB07F9B"/>
    <w:rsid w:val="5BC16969"/>
    <w:rsid w:val="5BD777E6"/>
    <w:rsid w:val="5BE33568"/>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2B2C34"/>
    <w:rsid w:val="5D365596"/>
    <w:rsid w:val="5D446203"/>
    <w:rsid w:val="5D476B7B"/>
    <w:rsid w:val="5D52647E"/>
    <w:rsid w:val="5D5668B3"/>
    <w:rsid w:val="5D6C32DC"/>
    <w:rsid w:val="5D8C1586"/>
    <w:rsid w:val="5D8F380B"/>
    <w:rsid w:val="5D906018"/>
    <w:rsid w:val="5D911291"/>
    <w:rsid w:val="5D9A6C97"/>
    <w:rsid w:val="5D9B7BB6"/>
    <w:rsid w:val="5D9C72D5"/>
    <w:rsid w:val="5DA452EC"/>
    <w:rsid w:val="5DB67994"/>
    <w:rsid w:val="5DC0655D"/>
    <w:rsid w:val="5DCD7847"/>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DA624B"/>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90088"/>
    <w:rsid w:val="60997EB4"/>
    <w:rsid w:val="609B287E"/>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E1084"/>
    <w:rsid w:val="650F715A"/>
    <w:rsid w:val="65277BFE"/>
    <w:rsid w:val="65355B53"/>
    <w:rsid w:val="65445B42"/>
    <w:rsid w:val="655C775B"/>
    <w:rsid w:val="656C74F3"/>
    <w:rsid w:val="6593258B"/>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0501F8"/>
    <w:rsid w:val="6713640E"/>
    <w:rsid w:val="673335DC"/>
    <w:rsid w:val="6775439B"/>
    <w:rsid w:val="678D29F1"/>
    <w:rsid w:val="678E0472"/>
    <w:rsid w:val="67940B85"/>
    <w:rsid w:val="67976B83"/>
    <w:rsid w:val="67A40D91"/>
    <w:rsid w:val="67AD7C40"/>
    <w:rsid w:val="67D643E4"/>
    <w:rsid w:val="67DC52AF"/>
    <w:rsid w:val="67DF08A2"/>
    <w:rsid w:val="67EB4E2E"/>
    <w:rsid w:val="67FB2D76"/>
    <w:rsid w:val="68014F5D"/>
    <w:rsid w:val="680F1CC5"/>
    <w:rsid w:val="6819213A"/>
    <w:rsid w:val="681D772A"/>
    <w:rsid w:val="6866609E"/>
    <w:rsid w:val="68723724"/>
    <w:rsid w:val="687B4BF8"/>
    <w:rsid w:val="688504B1"/>
    <w:rsid w:val="688F307D"/>
    <w:rsid w:val="689D333D"/>
    <w:rsid w:val="68B24209"/>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586ED0"/>
    <w:rsid w:val="6B7B0127"/>
    <w:rsid w:val="6B940900"/>
    <w:rsid w:val="6B9659D1"/>
    <w:rsid w:val="6B992596"/>
    <w:rsid w:val="6BA40927"/>
    <w:rsid w:val="6BAC5136"/>
    <w:rsid w:val="6BB37DB8"/>
    <w:rsid w:val="6BBC4E35"/>
    <w:rsid w:val="6BC37142"/>
    <w:rsid w:val="6BC859EC"/>
    <w:rsid w:val="6BCA30F6"/>
    <w:rsid w:val="6BCB1147"/>
    <w:rsid w:val="6BE32239"/>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761303"/>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F64B04"/>
    <w:rsid w:val="720A7028"/>
    <w:rsid w:val="721037CA"/>
    <w:rsid w:val="7216791F"/>
    <w:rsid w:val="7222754E"/>
    <w:rsid w:val="722A4105"/>
    <w:rsid w:val="72527F77"/>
    <w:rsid w:val="72606732"/>
    <w:rsid w:val="726561BD"/>
    <w:rsid w:val="7281212A"/>
    <w:rsid w:val="729A0EE0"/>
    <w:rsid w:val="72A02D30"/>
    <w:rsid w:val="72B41A3F"/>
    <w:rsid w:val="72B66449"/>
    <w:rsid w:val="72BF6CA4"/>
    <w:rsid w:val="72C00DB2"/>
    <w:rsid w:val="72C309D4"/>
    <w:rsid w:val="72F05AD1"/>
    <w:rsid w:val="73085C4E"/>
    <w:rsid w:val="733A5581"/>
    <w:rsid w:val="733C2B39"/>
    <w:rsid w:val="734B707A"/>
    <w:rsid w:val="735636FE"/>
    <w:rsid w:val="73610221"/>
    <w:rsid w:val="73616C5B"/>
    <w:rsid w:val="73923252"/>
    <w:rsid w:val="73A52ADB"/>
    <w:rsid w:val="73F04490"/>
    <w:rsid w:val="73F456D6"/>
    <w:rsid w:val="73FA64D3"/>
    <w:rsid w:val="740857E9"/>
    <w:rsid w:val="74230A74"/>
    <w:rsid w:val="74434489"/>
    <w:rsid w:val="74447BCC"/>
    <w:rsid w:val="744C388B"/>
    <w:rsid w:val="745154C4"/>
    <w:rsid w:val="74623260"/>
    <w:rsid w:val="7468238A"/>
    <w:rsid w:val="746D2F8F"/>
    <w:rsid w:val="747A4C83"/>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2F637D"/>
    <w:rsid w:val="773A73DD"/>
    <w:rsid w:val="77540EAB"/>
    <w:rsid w:val="775E4966"/>
    <w:rsid w:val="77720FB5"/>
    <w:rsid w:val="77760FFC"/>
    <w:rsid w:val="77CC63EB"/>
    <w:rsid w:val="77E34BBF"/>
    <w:rsid w:val="77EE514F"/>
    <w:rsid w:val="78161C68"/>
    <w:rsid w:val="78342D62"/>
    <w:rsid w:val="786372CE"/>
    <w:rsid w:val="786A2128"/>
    <w:rsid w:val="787378B8"/>
    <w:rsid w:val="787F5E0E"/>
    <w:rsid w:val="789A41C2"/>
    <w:rsid w:val="78AF300E"/>
    <w:rsid w:val="78B86A6C"/>
    <w:rsid w:val="78BD3A05"/>
    <w:rsid w:val="78CB70BB"/>
    <w:rsid w:val="78CC6D3B"/>
    <w:rsid w:val="78D91F0C"/>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6592C"/>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420509"/>
    <w:rsid w:val="7C440B9A"/>
    <w:rsid w:val="7C4F3DF1"/>
    <w:rsid w:val="7C5F39D5"/>
    <w:rsid w:val="7C607F1C"/>
    <w:rsid w:val="7C610D1D"/>
    <w:rsid w:val="7C66541E"/>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 w:val="7FFD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2">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spacing w:after="120"/>
      <w:ind w:firstLine="420" w:firstLineChars="100"/>
    </w:pPr>
    <w:rPr>
      <w:rFonts w:ascii="仿宋_GB2312" w:hAnsi="Times New Roman" w:cs="Times New Roman"/>
      <w:color w:val="000000"/>
      <w:lang w:val="en-US" w:bidi="ar-SA"/>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3"/>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2"/>
    <w:qFormat/>
    <w:uiPriority w:val="9"/>
    <w:rPr>
      <w:rFonts w:ascii="仿宋" w:hAnsi="仿宋" w:eastAsia="仿宋_GB2312" w:cs="Times New Roman"/>
      <w:bCs/>
      <w:sz w:val="28"/>
      <w:szCs w:val="32"/>
    </w:rPr>
  </w:style>
  <w:style w:type="character" w:customStyle="1" w:styleId="34">
    <w:name w:val="标题 2 字符"/>
    <w:link w:val="4"/>
    <w:qFormat/>
    <w:uiPriority w:val="9"/>
    <w:rPr>
      <w:rFonts w:ascii="Cambria" w:hAnsi="Cambria" w:eastAsia="仿宋_GB2312"/>
      <w:b/>
      <w:bCs/>
      <w:sz w:val="30"/>
      <w:szCs w:val="32"/>
    </w:rPr>
  </w:style>
  <w:style w:type="character" w:customStyle="1" w:styleId="35">
    <w:name w:val="标题 1 字符"/>
    <w:link w:val="3"/>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修订1"/>
    <w:hidden/>
    <w:unhideWhenUsed/>
    <w:qFormat/>
    <w:uiPriority w:val="99"/>
    <w:rPr>
      <w:rFonts w:ascii="Calibri" w:hAnsi="Calibri" w:eastAsia="宋体" w:cs="Times New Roman"/>
      <w:kern w:val="2"/>
      <w:sz w:val="21"/>
      <w:szCs w:val="22"/>
      <w:lang w:val="en-US" w:eastAsia="zh-CN" w:bidi="ar-SA"/>
    </w:rPr>
  </w:style>
  <w:style w:type="paragraph" w:styleId="41">
    <w:name w:val="List Paragraph"/>
    <w:basedOn w:val="1"/>
    <w:unhideWhenUsed/>
    <w:qFormat/>
    <w:uiPriority w:val="99"/>
    <w:pPr>
      <w:ind w:left="142" w:right="118" w:rightChars="56"/>
    </w:pPr>
  </w:style>
  <w:style w:type="character" w:customStyle="1" w:styleId="42">
    <w:name w:val="color-dark"/>
    <w:basedOn w:val="22"/>
    <w:qFormat/>
    <w:uiPriority w:val="0"/>
  </w:style>
  <w:style w:type="paragraph" w:customStyle="1" w:styleId="43">
    <w:name w:val="Table Paragraph"/>
    <w:basedOn w:val="1"/>
    <w:qFormat/>
    <w:uiPriority w:val="0"/>
    <w:pPr>
      <w:kinsoku w:val="0"/>
      <w:autoSpaceDE w:val="0"/>
      <w:autoSpaceDN w:val="0"/>
      <w:adjustRightInd w:val="0"/>
      <w:snapToGrid w:val="0"/>
      <w:spacing w:before="129" w:line="360" w:lineRule="auto"/>
      <w:ind w:left="106" w:firstLine="200" w:firstLineChars="200"/>
      <w:textAlignment w:val="baseline"/>
    </w:pPr>
    <w:rPr>
      <w:rFonts w:hint="eastAsia" w:ascii="宋体" w:hAnsi="宋体"/>
      <w:color w:val="000000"/>
      <w:sz w:val="24"/>
      <w:szCs w:val="24"/>
    </w:rPr>
  </w:style>
  <w:style w:type="paragraph" w:customStyle="1" w:styleId="4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9205</Words>
  <Characters>9652</Characters>
  <Lines>84</Lines>
  <Paragraphs>23</Paragraphs>
  <TotalTime>7</TotalTime>
  <ScaleCrop>false</ScaleCrop>
  <LinksUpToDate>false</LinksUpToDate>
  <CharactersWithSpaces>10649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亚历山·小</cp:lastModifiedBy>
  <cp:lastPrinted>2024-11-29T02:09:00Z</cp:lastPrinted>
  <dcterms:modified xsi:type="dcterms:W3CDTF">2024-12-31T09:08:42Z</dcterms:modified>
  <dc:title>中建七局华北公司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A08EA19555824D3CB1EDDE36B4185324_13</vt:lpwstr>
  </property>
  <property fmtid="{D5CDD505-2E9C-101B-9397-08002B2CF9AE}" pid="4" name="KSOTemplateDocerSaveRecord">
    <vt:lpwstr>eyJoZGlkIjoiMTc2Mzg3MjE1YzQ2OTI0ZGU3N2FiMjhiOGQ0ZmJjODEiLCJ1c2VySWQiOiIxMDYyMDQ0MDMyIn0=</vt:lpwstr>
  </property>
</Properties>
</file>