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03322">
      <w:pPr>
        <w:spacing w:line="380" w:lineRule="atLeast"/>
        <w:jc w:val="right"/>
        <w:rPr>
          <w:rFonts w:hint="eastAsia" w:ascii="楷体_GB2312" w:hAnsi="楷体_GB2312" w:eastAsia="楷体_GB2312" w:cs="楷体_GB2312"/>
          <w:b/>
          <w:color w:val="auto"/>
          <w:sz w:val="52"/>
          <w:szCs w:val="52"/>
        </w:rPr>
      </w:pPr>
      <w:bookmarkStart w:id="0" w:name="_Toc343700737"/>
      <w:bookmarkStart w:id="1" w:name="_Toc343692939"/>
      <w:r>
        <w:rPr>
          <w:rFonts w:hint="eastAsia" w:ascii="楷体_GB2312" w:hAnsi="楷体_GB2312" w:eastAsia="楷体_GB2312" w:cs="楷体_GB2312"/>
          <w:b/>
          <w:color w:val="auto"/>
          <w:sz w:val="52"/>
          <w:szCs w:val="52"/>
        </w:rPr>
        <w:t xml:space="preserve">    </w:t>
      </w:r>
    </w:p>
    <w:p w14:paraId="7DC6A612">
      <w:pPr>
        <w:spacing w:line="1000" w:lineRule="exact"/>
        <w:ind w:left="-199" w:leftChars="-95"/>
        <w:jc w:val="center"/>
        <w:rPr>
          <w:rFonts w:hint="eastAsia" w:ascii="楷体_GB2312" w:hAnsi="楷体_GB2312" w:eastAsia="楷体_GB2312" w:cs="楷体_GB2312"/>
          <w:b/>
          <w:color w:val="auto"/>
          <w:sz w:val="52"/>
          <w:szCs w:val="52"/>
          <w:lang w:eastAsia="zh-CN"/>
        </w:rPr>
      </w:pPr>
      <w:r>
        <w:rPr>
          <w:rFonts w:hint="eastAsia" w:ascii="楷体_GB2312" w:hAnsi="楷体_GB2312" w:eastAsia="楷体_GB2312" w:cs="楷体_GB2312"/>
          <w:b/>
          <w:color w:val="auto"/>
          <w:sz w:val="52"/>
          <w:szCs w:val="52"/>
          <w:lang w:eastAsia="zh-CN"/>
        </w:rPr>
        <w:t>海南洋浦陆海能源发展有限公司</w:t>
      </w:r>
    </w:p>
    <w:p w14:paraId="48DDF128">
      <w:pPr>
        <w:spacing w:line="1000" w:lineRule="exact"/>
        <w:ind w:left="-420" w:leftChars="-200" w:right="-420" w:rightChars="-200"/>
        <w:jc w:val="center"/>
        <w:rPr>
          <w:rFonts w:hint="eastAsia" w:ascii="楷体_GB2312" w:hAnsi="楷体_GB2312" w:eastAsia="楷体_GB2312" w:cs="楷体_GB2312"/>
          <w:b/>
          <w:color w:val="auto"/>
          <w:sz w:val="52"/>
          <w:szCs w:val="52"/>
        </w:rPr>
      </w:pPr>
      <w:r>
        <w:rPr>
          <w:rFonts w:hint="eastAsia" w:ascii="楷体_GB2312" w:hAnsi="楷体_GB2312" w:eastAsia="楷体_GB2312" w:cs="楷体_GB2312"/>
          <w:b/>
          <w:color w:val="auto"/>
          <w:sz w:val="52"/>
          <w:szCs w:val="52"/>
          <w:lang w:eastAsia="zh-CN"/>
        </w:rPr>
        <w:t>洋浦迎宾馆用户侧储能项目</w:t>
      </w:r>
      <w:r>
        <w:rPr>
          <w:rFonts w:hint="eastAsia" w:ascii="楷体_GB2312" w:hAnsi="楷体_GB2312" w:eastAsia="楷体_GB2312" w:cs="楷体_GB2312"/>
          <w:b/>
          <w:color w:val="auto"/>
          <w:sz w:val="52"/>
          <w:szCs w:val="52"/>
          <w:lang w:val="en-US" w:eastAsia="zh-CN"/>
        </w:rPr>
        <w:t>可行性研究报告</w:t>
      </w:r>
      <w:r>
        <w:rPr>
          <w:rFonts w:hint="eastAsia" w:ascii="楷体_GB2312" w:hAnsi="楷体_GB2312" w:eastAsia="楷体_GB2312" w:cs="楷体_GB2312"/>
          <w:b/>
          <w:color w:val="auto"/>
          <w:sz w:val="52"/>
          <w:szCs w:val="52"/>
        </w:rPr>
        <w:t xml:space="preserve">编制服务                              </w:t>
      </w:r>
    </w:p>
    <w:p w14:paraId="057965AD">
      <w:pPr>
        <w:spacing w:line="380" w:lineRule="atLeast"/>
        <w:rPr>
          <w:rFonts w:hint="eastAsia" w:ascii="楷体_GB2312" w:hAnsi="楷体_GB2312" w:eastAsia="楷体_GB2312" w:cs="楷体_GB2312"/>
          <w:b/>
          <w:color w:val="auto"/>
          <w:sz w:val="52"/>
          <w:szCs w:val="52"/>
        </w:rPr>
      </w:pPr>
    </w:p>
    <w:p w14:paraId="1D3E3EAB">
      <w:pPr>
        <w:spacing w:line="380" w:lineRule="atLeast"/>
        <w:ind w:left="-199" w:leftChars="-95"/>
        <w:jc w:val="center"/>
        <w:rPr>
          <w:rFonts w:hint="eastAsia" w:ascii="楷体_GB2312" w:hAnsi="楷体_GB2312" w:eastAsia="楷体_GB2312" w:cs="楷体_GB2312"/>
          <w:b/>
          <w:color w:val="auto"/>
          <w:sz w:val="52"/>
          <w:szCs w:val="52"/>
        </w:rPr>
      </w:pPr>
    </w:p>
    <w:p w14:paraId="77F6EF06">
      <w:pPr>
        <w:spacing w:line="380" w:lineRule="atLeast"/>
        <w:ind w:left="-199" w:leftChars="-95"/>
        <w:jc w:val="center"/>
        <w:rPr>
          <w:rFonts w:hint="eastAsia" w:ascii="楷体_GB2312" w:hAnsi="楷体_GB2312" w:eastAsia="楷体_GB2312" w:cs="楷体_GB2312"/>
          <w:b/>
          <w:color w:val="auto"/>
          <w:sz w:val="52"/>
          <w:szCs w:val="52"/>
          <w:highlight w:val="yellow"/>
        </w:rPr>
      </w:pPr>
    </w:p>
    <w:p w14:paraId="573CAF44">
      <w:pPr>
        <w:spacing w:line="1000" w:lineRule="exact"/>
        <w:jc w:val="center"/>
        <w:rPr>
          <w:rFonts w:hint="eastAsia" w:ascii="楷体_GB2312" w:hAnsi="楷体_GB2312" w:eastAsia="楷体_GB2312" w:cs="楷体_GB2312"/>
          <w:b/>
          <w:color w:val="auto"/>
          <w:sz w:val="52"/>
          <w:szCs w:val="52"/>
        </w:rPr>
      </w:pPr>
      <w:r>
        <w:rPr>
          <w:rFonts w:hint="eastAsia" w:ascii="楷体_GB2312" w:hAnsi="楷体_GB2312" w:eastAsia="楷体_GB2312" w:cs="楷体_GB2312"/>
          <w:b/>
          <w:color w:val="auto"/>
          <w:sz w:val="52"/>
          <w:szCs w:val="52"/>
        </w:rPr>
        <w:t>公</w:t>
      </w:r>
    </w:p>
    <w:p w14:paraId="4E1CA7BB">
      <w:pPr>
        <w:spacing w:line="1000" w:lineRule="exact"/>
        <w:jc w:val="center"/>
        <w:rPr>
          <w:rFonts w:hint="eastAsia" w:ascii="楷体_GB2312" w:hAnsi="楷体_GB2312" w:eastAsia="楷体_GB2312" w:cs="楷体_GB2312"/>
          <w:b/>
          <w:color w:val="auto"/>
          <w:sz w:val="52"/>
          <w:szCs w:val="52"/>
        </w:rPr>
      </w:pPr>
      <w:r>
        <w:rPr>
          <w:rFonts w:hint="eastAsia" w:ascii="楷体_GB2312" w:hAnsi="楷体_GB2312" w:eastAsia="楷体_GB2312" w:cs="楷体_GB2312"/>
          <w:b/>
          <w:color w:val="auto"/>
          <w:sz w:val="52"/>
          <w:szCs w:val="52"/>
        </w:rPr>
        <w:t>开</w:t>
      </w:r>
    </w:p>
    <w:p w14:paraId="3C5B9D95">
      <w:pPr>
        <w:spacing w:line="1000" w:lineRule="exact"/>
        <w:jc w:val="center"/>
        <w:rPr>
          <w:rFonts w:hint="eastAsia" w:ascii="楷体_GB2312" w:hAnsi="楷体_GB2312" w:eastAsia="楷体_GB2312" w:cs="楷体_GB2312"/>
          <w:b/>
          <w:color w:val="auto"/>
          <w:sz w:val="52"/>
          <w:szCs w:val="52"/>
        </w:rPr>
      </w:pPr>
      <w:r>
        <w:rPr>
          <w:rFonts w:hint="eastAsia" w:ascii="楷体_GB2312" w:hAnsi="楷体_GB2312" w:eastAsia="楷体_GB2312" w:cs="楷体_GB2312"/>
          <w:b/>
          <w:color w:val="auto"/>
          <w:sz w:val="52"/>
          <w:szCs w:val="52"/>
        </w:rPr>
        <w:t>询</w:t>
      </w:r>
    </w:p>
    <w:p w14:paraId="21B91F25">
      <w:pPr>
        <w:spacing w:line="1000" w:lineRule="exact"/>
        <w:jc w:val="center"/>
        <w:rPr>
          <w:rFonts w:hint="eastAsia" w:ascii="楷体_GB2312" w:hAnsi="楷体_GB2312" w:eastAsia="楷体_GB2312" w:cs="楷体_GB2312"/>
          <w:b/>
          <w:color w:val="auto"/>
          <w:sz w:val="52"/>
          <w:szCs w:val="52"/>
        </w:rPr>
      </w:pPr>
      <w:r>
        <w:rPr>
          <w:rFonts w:hint="eastAsia" w:ascii="楷体_GB2312" w:hAnsi="楷体_GB2312" w:eastAsia="楷体_GB2312" w:cs="楷体_GB2312"/>
          <w:b/>
          <w:color w:val="auto"/>
          <w:sz w:val="52"/>
          <w:szCs w:val="52"/>
        </w:rPr>
        <w:t>价</w:t>
      </w:r>
    </w:p>
    <w:p w14:paraId="55EC82E4">
      <w:pPr>
        <w:spacing w:line="1000" w:lineRule="exact"/>
        <w:jc w:val="center"/>
        <w:rPr>
          <w:rFonts w:hint="eastAsia" w:ascii="楷体_GB2312" w:hAnsi="楷体_GB2312" w:eastAsia="楷体_GB2312" w:cs="楷体_GB2312"/>
          <w:b/>
          <w:color w:val="auto"/>
          <w:sz w:val="52"/>
          <w:szCs w:val="52"/>
        </w:rPr>
      </w:pPr>
      <w:r>
        <w:rPr>
          <w:rFonts w:hint="eastAsia" w:ascii="楷体_GB2312" w:hAnsi="楷体_GB2312" w:eastAsia="楷体_GB2312" w:cs="楷体_GB2312"/>
          <w:b/>
          <w:color w:val="auto"/>
          <w:sz w:val="52"/>
          <w:szCs w:val="52"/>
        </w:rPr>
        <w:t>文</w:t>
      </w:r>
    </w:p>
    <w:p w14:paraId="6D66445C">
      <w:pPr>
        <w:pStyle w:val="4"/>
        <w:jc w:val="center"/>
        <w:rPr>
          <w:rFonts w:hint="eastAsia"/>
          <w:color w:val="auto"/>
        </w:rPr>
      </w:pPr>
      <w:r>
        <w:rPr>
          <w:rFonts w:hint="eastAsia" w:ascii="楷体_GB2312" w:hAnsi="楷体_GB2312" w:eastAsia="楷体_GB2312" w:cs="楷体_GB2312"/>
          <w:b/>
          <w:color w:val="auto"/>
          <w:sz w:val="52"/>
          <w:szCs w:val="52"/>
        </w:rPr>
        <w:t>件</w:t>
      </w:r>
    </w:p>
    <w:p w14:paraId="07596DF8">
      <w:pPr>
        <w:rPr>
          <w:color w:val="auto"/>
        </w:rPr>
      </w:pPr>
    </w:p>
    <w:p w14:paraId="0CDC6FFB">
      <w:pPr>
        <w:rPr>
          <w:color w:val="auto"/>
        </w:rPr>
      </w:pPr>
    </w:p>
    <w:p w14:paraId="4A96ED4C">
      <w:pPr>
        <w:spacing w:line="1000" w:lineRule="exact"/>
        <w:jc w:val="center"/>
        <w:rPr>
          <w:rFonts w:hint="eastAsia" w:ascii="黑体" w:hAnsi="黑体" w:eastAsia="黑体"/>
          <w:b/>
          <w:color w:val="auto"/>
          <w:sz w:val="32"/>
          <w:szCs w:val="32"/>
        </w:rPr>
        <w:sectPr>
          <w:headerReference r:id="rId5" w:type="default"/>
          <w:footerReference r:id="rId6" w:type="default"/>
          <w:pgSz w:w="11906" w:h="16838"/>
          <w:pgMar w:top="1440" w:right="1800" w:bottom="1247" w:left="1800" w:header="851" w:footer="992" w:gutter="0"/>
          <w:cols w:space="0" w:num="1"/>
          <w:docGrid w:type="lines" w:linePitch="312" w:charSpace="0"/>
        </w:sectPr>
      </w:pPr>
    </w:p>
    <w:p w14:paraId="1B310922">
      <w:pPr>
        <w:spacing w:line="1000" w:lineRule="exact"/>
        <w:jc w:val="center"/>
        <w:rPr>
          <w:rFonts w:hint="eastAsia" w:ascii="黑体" w:hAnsi="黑体" w:eastAsia="黑体"/>
          <w:b/>
          <w:color w:val="auto"/>
          <w:sz w:val="32"/>
          <w:szCs w:val="32"/>
        </w:rPr>
      </w:pPr>
      <w:r>
        <w:rPr>
          <w:rFonts w:hint="eastAsia" w:ascii="黑体" w:hAnsi="黑体" w:eastAsia="黑体"/>
          <w:b/>
          <w:color w:val="auto"/>
          <w:sz w:val="32"/>
          <w:szCs w:val="32"/>
        </w:rPr>
        <w:t>目  录</w:t>
      </w:r>
    </w:p>
    <w:p w14:paraId="43380AAF">
      <w:pPr>
        <w:pStyle w:val="15"/>
        <w:tabs>
          <w:tab w:val="right" w:leader="dot" w:pos="8306"/>
          <w:tab w:val="clear" w:pos="1050"/>
          <w:tab w:val="clear" w:pos="8296"/>
        </w:tabs>
        <w:spacing w:before="312" w:beforeLines="100" w:after="312" w:afterLines="100" w:line="480" w:lineRule="auto"/>
        <w:rPr>
          <w:color w:val="auto"/>
          <w:sz w:val="32"/>
          <w:szCs w:val="32"/>
        </w:rPr>
      </w:pPr>
      <w:r>
        <w:rPr>
          <w:rFonts w:hint="eastAsia" w:ascii="宋体" w:hAnsi="宋体" w:cs="宋体"/>
          <w:bCs/>
          <w:color w:val="auto"/>
          <w:szCs w:val="21"/>
        </w:rPr>
        <w:fldChar w:fldCharType="begin"/>
      </w:r>
      <w:r>
        <w:rPr>
          <w:rFonts w:hint="eastAsia" w:ascii="宋体" w:hAnsi="宋体" w:cs="宋体"/>
          <w:bCs/>
          <w:color w:val="auto"/>
          <w:szCs w:val="21"/>
        </w:rPr>
        <w:instrText xml:space="preserve"> TOC \o "1-2" \h \z \u </w:instrText>
      </w:r>
      <w:r>
        <w:rPr>
          <w:rFonts w:hint="eastAsia" w:ascii="宋体" w:hAnsi="宋体" w:cs="宋体"/>
          <w:bCs/>
          <w:color w:val="auto"/>
          <w:szCs w:val="21"/>
        </w:rPr>
        <w:fldChar w:fldCharType="separate"/>
      </w:r>
      <w:r>
        <w:rPr>
          <w:color w:val="auto"/>
        </w:rPr>
        <w:fldChar w:fldCharType="begin"/>
      </w:r>
      <w:r>
        <w:rPr>
          <w:color w:val="auto"/>
        </w:rPr>
        <w:instrText xml:space="preserve"> HYPERLINK \l "_Toc29696" </w:instrText>
      </w:r>
      <w:r>
        <w:rPr>
          <w:color w:val="auto"/>
        </w:rPr>
        <w:fldChar w:fldCharType="separate"/>
      </w:r>
      <w:r>
        <w:rPr>
          <w:rFonts w:hint="eastAsia" w:ascii="楷体" w:hAnsi="楷体" w:eastAsia="楷体" w:cs="楷体"/>
          <w:bCs/>
          <w:color w:val="auto"/>
          <w:sz w:val="32"/>
          <w:szCs w:val="32"/>
        </w:rPr>
        <w:t xml:space="preserve">第一章 </w:t>
      </w:r>
      <w:r>
        <w:rPr>
          <w:rFonts w:hint="eastAsia" w:ascii="楷体" w:hAnsi="楷体" w:eastAsia="楷体" w:cs="楷体"/>
          <w:color w:val="auto"/>
          <w:sz w:val="32"/>
          <w:szCs w:val="32"/>
        </w:rPr>
        <w:t>公开询价报价函</w:t>
      </w:r>
      <w:r>
        <w:rPr>
          <w:color w:val="auto"/>
          <w:sz w:val="32"/>
          <w:szCs w:val="32"/>
        </w:rPr>
        <w:tab/>
      </w:r>
      <w:r>
        <w:rPr>
          <w:color w:val="auto"/>
          <w:sz w:val="32"/>
          <w:szCs w:val="32"/>
        </w:rPr>
        <w:fldChar w:fldCharType="begin"/>
      </w:r>
      <w:r>
        <w:rPr>
          <w:color w:val="auto"/>
          <w:sz w:val="32"/>
          <w:szCs w:val="32"/>
        </w:rPr>
        <w:instrText xml:space="preserve"> PAGEREF _Toc29696 \h </w:instrText>
      </w:r>
      <w:r>
        <w:rPr>
          <w:color w:val="auto"/>
          <w:sz w:val="32"/>
          <w:szCs w:val="32"/>
        </w:rPr>
        <w:fldChar w:fldCharType="separate"/>
      </w:r>
      <w:r>
        <w:rPr>
          <w:color w:val="auto"/>
          <w:sz w:val="32"/>
          <w:szCs w:val="32"/>
        </w:rPr>
        <w:t>2</w:t>
      </w:r>
      <w:r>
        <w:rPr>
          <w:color w:val="auto"/>
          <w:sz w:val="32"/>
          <w:szCs w:val="32"/>
        </w:rPr>
        <w:fldChar w:fldCharType="end"/>
      </w:r>
      <w:r>
        <w:rPr>
          <w:color w:val="auto"/>
          <w:sz w:val="32"/>
          <w:szCs w:val="32"/>
        </w:rPr>
        <w:fldChar w:fldCharType="end"/>
      </w:r>
    </w:p>
    <w:p w14:paraId="57FEB14B">
      <w:pPr>
        <w:pStyle w:val="15"/>
        <w:tabs>
          <w:tab w:val="right" w:leader="dot" w:pos="8306"/>
          <w:tab w:val="clear" w:pos="1050"/>
          <w:tab w:val="clear" w:pos="8296"/>
        </w:tabs>
        <w:spacing w:before="312" w:beforeLines="100" w:after="312" w:afterLines="100" w:line="480" w:lineRule="auto"/>
        <w:rPr>
          <w:color w:val="auto"/>
          <w:sz w:val="32"/>
          <w:szCs w:val="32"/>
        </w:rPr>
      </w:pPr>
      <w:r>
        <w:rPr>
          <w:color w:val="auto"/>
        </w:rPr>
        <w:fldChar w:fldCharType="begin"/>
      </w:r>
      <w:r>
        <w:rPr>
          <w:color w:val="auto"/>
        </w:rPr>
        <w:instrText xml:space="preserve"> HYPERLINK \l "_Toc655" </w:instrText>
      </w:r>
      <w:r>
        <w:rPr>
          <w:color w:val="auto"/>
        </w:rPr>
        <w:fldChar w:fldCharType="separate"/>
      </w:r>
      <w:r>
        <w:rPr>
          <w:rFonts w:hint="eastAsia" w:ascii="楷体" w:hAnsi="楷体" w:eastAsia="楷体" w:cs="楷体"/>
          <w:bCs/>
          <w:color w:val="auto"/>
          <w:sz w:val="32"/>
          <w:szCs w:val="32"/>
        </w:rPr>
        <w:t xml:space="preserve">第二章 </w:t>
      </w:r>
      <w:r>
        <w:rPr>
          <w:rFonts w:hint="eastAsia" w:ascii="楷体" w:hAnsi="楷体" w:eastAsia="楷体" w:cs="楷体"/>
          <w:color w:val="auto"/>
          <w:sz w:val="32"/>
          <w:szCs w:val="32"/>
        </w:rPr>
        <w:t>供应商须知</w:t>
      </w:r>
      <w:r>
        <w:rPr>
          <w:color w:val="auto"/>
          <w:sz w:val="32"/>
          <w:szCs w:val="32"/>
        </w:rPr>
        <w:tab/>
      </w:r>
      <w:r>
        <w:rPr>
          <w:color w:val="auto"/>
          <w:sz w:val="32"/>
          <w:szCs w:val="32"/>
        </w:rPr>
        <w:fldChar w:fldCharType="begin"/>
      </w:r>
      <w:r>
        <w:rPr>
          <w:color w:val="auto"/>
          <w:sz w:val="32"/>
          <w:szCs w:val="32"/>
        </w:rPr>
        <w:instrText xml:space="preserve"> PAGEREF _Toc655 \h </w:instrText>
      </w:r>
      <w:r>
        <w:rPr>
          <w:color w:val="auto"/>
          <w:sz w:val="32"/>
          <w:szCs w:val="32"/>
        </w:rPr>
        <w:fldChar w:fldCharType="separate"/>
      </w:r>
      <w:r>
        <w:rPr>
          <w:color w:val="auto"/>
          <w:sz w:val="32"/>
          <w:szCs w:val="32"/>
        </w:rPr>
        <w:t>4</w:t>
      </w:r>
      <w:r>
        <w:rPr>
          <w:color w:val="auto"/>
          <w:sz w:val="32"/>
          <w:szCs w:val="32"/>
        </w:rPr>
        <w:fldChar w:fldCharType="end"/>
      </w:r>
      <w:r>
        <w:rPr>
          <w:color w:val="auto"/>
          <w:sz w:val="32"/>
          <w:szCs w:val="32"/>
        </w:rPr>
        <w:fldChar w:fldCharType="end"/>
      </w:r>
    </w:p>
    <w:p w14:paraId="60E45C4A">
      <w:pPr>
        <w:pStyle w:val="15"/>
        <w:tabs>
          <w:tab w:val="right" w:leader="dot" w:pos="8306"/>
          <w:tab w:val="clear" w:pos="1050"/>
          <w:tab w:val="clear" w:pos="8296"/>
        </w:tabs>
        <w:spacing w:before="312" w:beforeLines="100" w:after="312" w:afterLines="100" w:line="480" w:lineRule="auto"/>
        <w:rPr>
          <w:color w:val="auto"/>
          <w:sz w:val="32"/>
          <w:szCs w:val="32"/>
        </w:rPr>
      </w:pPr>
      <w:r>
        <w:rPr>
          <w:color w:val="auto"/>
        </w:rPr>
        <w:fldChar w:fldCharType="begin"/>
      </w:r>
      <w:r>
        <w:rPr>
          <w:color w:val="auto"/>
        </w:rPr>
        <w:instrText xml:space="preserve"> HYPERLINK \l "_Toc7720" </w:instrText>
      </w:r>
      <w:r>
        <w:rPr>
          <w:color w:val="auto"/>
        </w:rPr>
        <w:fldChar w:fldCharType="separate"/>
      </w:r>
      <w:r>
        <w:rPr>
          <w:rFonts w:hint="eastAsia" w:ascii="楷体" w:hAnsi="楷体" w:eastAsia="楷体" w:cs="楷体"/>
          <w:bCs/>
          <w:color w:val="auto"/>
          <w:sz w:val="32"/>
          <w:szCs w:val="32"/>
        </w:rPr>
        <w:t xml:space="preserve">第三章 </w:t>
      </w:r>
      <w:r>
        <w:rPr>
          <w:rFonts w:hint="eastAsia" w:ascii="楷体" w:hAnsi="楷体" w:eastAsia="楷体" w:cs="楷体"/>
          <w:color w:val="auto"/>
          <w:sz w:val="32"/>
          <w:szCs w:val="32"/>
        </w:rPr>
        <w:t>评审办法</w:t>
      </w:r>
      <w:r>
        <w:rPr>
          <w:color w:val="auto"/>
          <w:sz w:val="32"/>
          <w:szCs w:val="32"/>
        </w:rPr>
        <w:tab/>
      </w:r>
      <w:r>
        <w:rPr>
          <w:color w:val="auto"/>
          <w:sz w:val="32"/>
          <w:szCs w:val="32"/>
        </w:rPr>
        <w:fldChar w:fldCharType="begin"/>
      </w:r>
      <w:r>
        <w:rPr>
          <w:color w:val="auto"/>
          <w:sz w:val="32"/>
          <w:szCs w:val="32"/>
        </w:rPr>
        <w:instrText xml:space="preserve"> PAGEREF _Toc7720 \h </w:instrText>
      </w:r>
      <w:r>
        <w:rPr>
          <w:color w:val="auto"/>
          <w:sz w:val="32"/>
          <w:szCs w:val="32"/>
        </w:rPr>
        <w:fldChar w:fldCharType="separate"/>
      </w:r>
      <w:r>
        <w:rPr>
          <w:color w:val="auto"/>
          <w:sz w:val="32"/>
          <w:szCs w:val="32"/>
        </w:rPr>
        <w:t>8</w:t>
      </w:r>
      <w:r>
        <w:rPr>
          <w:color w:val="auto"/>
          <w:sz w:val="32"/>
          <w:szCs w:val="32"/>
        </w:rPr>
        <w:fldChar w:fldCharType="end"/>
      </w:r>
      <w:r>
        <w:rPr>
          <w:color w:val="auto"/>
          <w:sz w:val="32"/>
          <w:szCs w:val="32"/>
        </w:rPr>
        <w:fldChar w:fldCharType="end"/>
      </w:r>
    </w:p>
    <w:p w14:paraId="33B57F1D">
      <w:pPr>
        <w:pStyle w:val="15"/>
        <w:tabs>
          <w:tab w:val="right" w:leader="dot" w:pos="8306"/>
          <w:tab w:val="clear" w:pos="1050"/>
          <w:tab w:val="clear" w:pos="8296"/>
        </w:tabs>
        <w:spacing w:before="312" w:beforeLines="100" w:after="312" w:afterLines="100" w:line="480" w:lineRule="auto"/>
        <w:rPr>
          <w:color w:val="auto"/>
          <w:sz w:val="32"/>
          <w:szCs w:val="32"/>
        </w:rPr>
      </w:pPr>
      <w:r>
        <w:rPr>
          <w:color w:val="auto"/>
        </w:rPr>
        <w:fldChar w:fldCharType="begin"/>
      </w:r>
      <w:r>
        <w:rPr>
          <w:color w:val="auto"/>
        </w:rPr>
        <w:instrText xml:space="preserve"> HYPERLINK \l "_Toc196" </w:instrText>
      </w:r>
      <w:r>
        <w:rPr>
          <w:color w:val="auto"/>
        </w:rPr>
        <w:fldChar w:fldCharType="separate"/>
      </w:r>
      <w:r>
        <w:rPr>
          <w:rFonts w:hint="eastAsia" w:ascii="楷体" w:hAnsi="楷体" w:eastAsia="楷体" w:cs="楷体"/>
          <w:bCs/>
          <w:color w:val="auto"/>
          <w:sz w:val="32"/>
          <w:szCs w:val="32"/>
        </w:rPr>
        <w:t xml:space="preserve">第四章 </w:t>
      </w:r>
      <w:r>
        <w:rPr>
          <w:rFonts w:hint="eastAsia" w:ascii="楷体" w:hAnsi="楷体" w:eastAsia="楷体" w:cs="楷体"/>
          <w:color w:val="auto"/>
          <w:sz w:val="32"/>
          <w:szCs w:val="32"/>
        </w:rPr>
        <w:t>合同（格式）</w:t>
      </w:r>
      <w:r>
        <w:rPr>
          <w:color w:val="auto"/>
          <w:sz w:val="32"/>
          <w:szCs w:val="32"/>
        </w:rPr>
        <w:tab/>
      </w:r>
      <w:r>
        <w:rPr>
          <w:color w:val="auto"/>
          <w:sz w:val="32"/>
          <w:szCs w:val="32"/>
        </w:rPr>
        <w:fldChar w:fldCharType="begin"/>
      </w:r>
      <w:r>
        <w:rPr>
          <w:color w:val="auto"/>
          <w:sz w:val="32"/>
          <w:szCs w:val="32"/>
        </w:rPr>
        <w:instrText xml:space="preserve"> PAGEREF _Toc196 \h </w:instrText>
      </w:r>
      <w:r>
        <w:rPr>
          <w:color w:val="auto"/>
          <w:sz w:val="32"/>
          <w:szCs w:val="32"/>
        </w:rPr>
        <w:fldChar w:fldCharType="separate"/>
      </w:r>
      <w:r>
        <w:rPr>
          <w:color w:val="auto"/>
          <w:sz w:val="32"/>
          <w:szCs w:val="32"/>
        </w:rPr>
        <w:t>11</w:t>
      </w:r>
      <w:r>
        <w:rPr>
          <w:color w:val="auto"/>
          <w:sz w:val="32"/>
          <w:szCs w:val="32"/>
        </w:rPr>
        <w:fldChar w:fldCharType="end"/>
      </w:r>
      <w:r>
        <w:rPr>
          <w:color w:val="auto"/>
          <w:sz w:val="32"/>
          <w:szCs w:val="32"/>
        </w:rPr>
        <w:fldChar w:fldCharType="end"/>
      </w:r>
    </w:p>
    <w:p w14:paraId="54DA5B84">
      <w:pPr>
        <w:pStyle w:val="15"/>
        <w:tabs>
          <w:tab w:val="right" w:leader="dot" w:pos="8306"/>
          <w:tab w:val="clear" w:pos="1050"/>
          <w:tab w:val="clear" w:pos="8296"/>
        </w:tabs>
        <w:spacing w:before="312" w:beforeLines="100" w:after="312" w:afterLines="100" w:line="480" w:lineRule="auto"/>
        <w:rPr>
          <w:color w:val="auto"/>
        </w:rPr>
      </w:pPr>
      <w:r>
        <w:rPr>
          <w:color w:val="auto"/>
        </w:rPr>
        <w:fldChar w:fldCharType="begin"/>
      </w:r>
      <w:r>
        <w:rPr>
          <w:color w:val="auto"/>
        </w:rPr>
        <w:instrText xml:space="preserve"> HYPERLINK \l "_Toc27539" </w:instrText>
      </w:r>
      <w:r>
        <w:rPr>
          <w:color w:val="auto"/>
        </w:rPr>
        <w:fldChar w:fldCharType="separate"/>
      </w:r>
      <w:r>
        <w:rPr>
          <w:rFonts w:hint="eastAsia" w:ascii="楷体" w:hAnsi="楷体" w:eastAsia="楷体" w:cs="楷体"/>
          <w:bCs/>
          <w:color w:val="auto"/>
          <w:sz w:val="32"/>
          <w:szCs w:val="32"/>
        </w:rPr>
        <w:t xml:space="preserve">第五章 </w:t>
      </w:r>
      <w:r>
        <w:rPr>
          <w:rFonts w:hint="eastAsia" w:ascii="楷体" w:hAnsi="楷体" w:eastAsia="楷体" w:cs="楷体"/>
          <w:color w:val="auto"/>
          <w:sz w:val="32"/>
          <w:szCs w:val="32"/>
        </w:rPr>
        <w:t>报价文件格式</w:t>
      </w:r>
      <w:r>
        <w:rPr>
          <w:color w:val="auto"/>
          <w:sz w:val="32"/>
          <w:szCs w:val="32"/>
        </w:rPr>
        <w:tab/>
      </w:r>
      <w:r>
        <w:rPr>
          <w:color w:val="auto"/>
          <w:sz w:val="32"/>
          <w:szCs w:val="32"/>
        </w:rPr>
        <w:fldChar w:fldCharType="begin"/>
      </w:r>
      <w:r>
        <w:rPr>
          <w:color w:val="auto"/>
          <w:sz w:val="32"/>
          <w:szCs w:val="32"/>
        </w:rPr>
        <w:instrText xml:space="preserve"> PAGEREF _Toc27539 \h </w:instrText>
      </w:r>
      <w:r>
        <w:rPr>
          <w:color w:val="auto"/>
          <w:sz w:val="32"/>
          <w:szCs w:val="32"/>
        </w:rPr>
        <w:fldChar w:fldCharType="separate"/>
      </w:r>
      <w:r>
        <w:rPr>
          <w:color w:val="auto"/>
          <w:sz w:val="32"/>
          <w:szCs w:val="32"/>
        </w:rPr>
        <w:t>21</w:t>
      </w:r>
      <w:r>
        <w:rPr>
          <w:color w:val="auto"/>
          <w:sz w:val="32"/>
          <w:szCs w:val="32"/>
        </w:rPr>
        <w:fldChar w:fldCharType="end"/>
      </w:r>
      <w:r>
        <w:rPr>
          <w:color w:val="auto"/>
          <w:sz w:val="32"/>
          <w:szCs w:val="32"/>
        </w:rPr>
        <w:fldChar w:fldCharType="end"/>
      </w:r>
    </w:p>
    <w:p w14:paraId="57F5CAF1">
      <w:pPr>
        <w:pStyle w:val="16"/>
        <w:tabs>
          <w:tab w:val="right" w:leader="dot" w:pos="8306"/>
        </w:tabs>
        <w:ind w:left="0" w:leftChars="0"/>
        <w:rPr>
          <w:color w:val="auto"/>
        </w:rPr>
      </w:pPr>
    </w:p>
    <w:p w14:paraId="78FA88FE">
      <w:pPr>
        <w:pStyle w:val="29"/>
        <w:numPr>
          <w:ilvl w:val="0"/>
          <w:numId w:val="1"/>
        </w:numPr>
        <w:rPr>
          <w:rFonts w:hint="eastAsia" w:ascii="楷体" w:hAnsi="楷体" w:eastAsia="楷体" w:cs="楷体"/>
          <w:b/>
          <w:bCs w:val="0"/>
          <w:color w:val="auto"/>
        </w:rPr>
        <w:sectPr>
          <w:headerReference r:id="rId7" w:type="default"/>
          <w:footerReference r:id="rId8" w:type="default"/>
          <w:pgSz w:w="11906" w:h="16838"/>
          <w:pgMar w:top="1440" w:right="1800" w:bottom="1247" w:left="1800" w:header="851" w:footer="992" w:gutter="0"/>
          <w:pgNumType w:start="1"/>
          <w:cols w:space="0" w:num="1"/>
          <w:docGrid w:type="lines" w:linePitch="312" w:charSpace="0"/>
        </w:sectPr>
      </w:pPr>
      <w:r>
        <w:rPr>
          <w:rFonts w:hint="eastAsia" w:ascii="宋体" w:hAnsi="宋体" w:eastAsia="宋体"/>
          <w:color w:val="auto"/>
          <w:szCs w:val="21"/>
        </w:rPr>
        <w:fldChar w:fldCharType="end"/>
      </w:r>
    </w:p>
    <w:p w14:paraId="7DB59719">
      <w:pPr>
        <w:pStyle w:val="29"/>
        <w:numPr>
          <w:ilvl w:val="0"/>
          <w:numId w:val="2"/>
        </w:numPr>
        <w:rPr>
          <w:rFonts w:hint="eastAsia" w:ascii="楷体" w:hAnsi="楷体" w:eastAsia="楷体" w:cs="楷体"/>
          <w:b/>
          <w:bCs w:val="0"/>
          <w:color w:val="auto"/>
        </w:rPr>
      </w:pPr>
      <w:bookmarkStart w:id="2" w:name="_Toc29696"/>
      <w:r>
        <w:rPr>
          <w:rFonts w:hint="eastAsia" w:ascii="楷体" w:hAnsi="楷体" w:eastAsia="楷体" w:cs="楷体"/>
          <w:b/>
          <w:bCs w:val="0"/>
          <w:color w:val="auto"/>
        </w:rPr>
        <w:t>公开询价报价函</w:t>
      </w:r>
      <w:bookmarkEnd w:id="2"/>
    </w:p>
    <w:p w14:paraId="3A729E55">
      <w:pPr>
        <w:adjustRightInd w:val="0"/>
        <w:snapToGrid w:val="0"/>
        <w:spacing w:line="360" w:lineRule="exact"/>
        <w:jc w:val="right"/>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 xml:space="preserve">                  </w:t>
      </w:r>
    </w:p>
    <w:tbl>
      <w:tblPr>
        <w:tblStyle w:val="20"/>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17"/>
        <w:gridCol w:w="5233"/>
      </w:tblGrid>
      <w:tr w14:paraId="220BCB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3" w:type="dxa"/>
            <w:gridSpan w:val="3"/>
            <w:tcBorders>
              <w:top w:val="single" w:color="auto" w:sz="8" w:space="0"/>
            </w:tcBorders>
            <w:vAlign w:val="center"/>
          </w:tcPr>
          <w:p w14:paraId="5A30ED48">
            <w:pPr>
              <w:spacing w:line="360" w:lineRule="atLeast"/>
              <w:rPr>
                <w:rFonts w:hint="eastAsia" w:ascii="楷体" w:hAnsi="楷体" w:eastAsia="楷体" w:cs="楷体"/>
                <w:color w:val="auto"/>
                <w:sz w:val="24"/>
                <w:szCs w:val="24"/>
              </w:rPr>
            </w:pPr>
            <w:r>
              <w:rPr>
                <w:rFonts w:hint="eastAsia" w:ascii="楷体" w:hAnsi="楷体" w:eastAsia="楷体" w:cs="楷体"/>
                <w:color w:val="auto"/>
                <w:sz w:val="24"/>
                <w:szCs w:val="24"/>
              </w:rPr>
              <w:t xml:space="preserve">      </w:t>
            </w:r>
            <w:r>
              <w:rPr>
                <w:rFonts w:hint="eastAsia" w:ascii="楷体" w:hAnsi="楷体" w:eastAsia="楷体" w:cs="楷体"/>
                <w:color w:val="auto"/>
                <w:sz w:val="24"/>
                <w:szCs w:val="24"/>
                <w:lang w:eastAsia="zh-CN"/>
              </w:rPr>
              <w:t>海南洋浦陆海能源发展有限公司</w:t>
            </w:r>
            <w:r>
              <w:rPr>
                <w:rFonts w:hint="eastAsia" w:ascii="楷体" w:hAnsi="楷体" w:eastAsia="楷体" w:cs="楷体"/>
                <w:color w:val="auto"/>
                <w:sz w:val="24"/>
                <w:szCs w:val="24"/>
                <w:u w:val="single"/>
                <w:lang w:eastAsia="zh-CN"/>
              </w:rPr>
              <w:t>洋浦迎宾馆用户侧储能项目</w:t>
            </w:r>
            <w:r>
              <w:rPr>
                <w:rFonts w:hint="eastAsia" w:ascii="楷体" w:hAnsi="楷体" w:eastAsia="楷体" w:cs="楷体"/>
                <w:color w:val="auto"/>
                <w:sz w:val="24"/>
                <w:szCs w:val="24"/>
                <w:u w:val="single"/>
                <w:lang w:val="en-US" w:eastAsia="zh-CN"/>
              </w:rPr>
              <w:t>可行性研究报告</w:t>
            </w:r>
            <w:r>
              <w:rPr>
                <w:rFonts w:hint="eastAsia" w:ascii="楷体" w:hAnsi="楷体" w:eastAsia="楷体" w:cs="楷体"/>
                <w:color w:val="auto"/>
                <w:sz w:val="24"/>
                <w:szCs w:val="24"/>
                <w:u w:val="single"/>
              </w:rPr>
              <w:t>编制服务</w:t>
            </w:r>
            <w:r>
              <w:rPr>
                <w:rFonts w:hint="eastAsia" w:ascii="楷体" w:hAnsi="楷体" w:eastAsia="楷体" w:cs="楷体"/>
                <w:color w:val="auto"/>
                <w:sz w:val="24"/>
                <w:szCs w:val="24"/>
              </w:rPr>
              <w:t>采购根据需要，拟按照</w:t>
            </w:r>
            <w:r>
              <w:rPr>
                <w:rFonts w:hint="eastAsia" w:ascii="楷体" w:hAnsi="楷体" w:eastAsia="楷体" w:cs="楷体"/>
                <w:color w:val="auto"/>
                <w:sz w:val="24"/>
                <w:szCs w:val="24"/>
                <w:u w:val="single"/>
              </w:rPr>
              <w:t>公开询价</w:t>
            </w:r>
            <w:r>
              <w:rPr>
                <w:rFonts w:hint="eastAsia" w:ascii="楷体" w:hAnsi="楷体" w:eastAsia="楷体" w:cs="楷体"/>
                <w:color w:val="auto"/>
                <w:sz w:val="24"/>
                <w:szCs w:val="24"/>
              </w:rPr>
              <w:t xml:space="preserve">方式进行采购，具体采购事项如下： </w:t>
            </w:r>
          </w:p>
        </w:tc>
      </w:tr>
      <w:tr w14:paraId="111334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63" w:type="dxa"/>
            <w:vAlign w:val="center"/>
          </w:tcPr>
          <w:p w14:paraId="397D9BDE">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序号</w:t>
            </w:r>
          </w:p>
        </w:tc>
        <w:tc>
          <w:tcPr>
            <w:tcW w:w="2517" w:type="dxa"/>
            <w:vAlign w:val="center"/>
          </w:tcPr>
          <w:p w14:paraId="22D1616D">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项目</w:t>
            </w:r>
          </w:p>
        </w:tc>
        <w:tc>
          <w:tcPr>
            <w:tcW w:w="5233" w:type="dxa"/>
            <w:vAlign w:val="center"/>
          </w:tcPr>
          <w:p w14:paraId="55935AE7">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内容</w:t>
            </w:r>
          </w:p>
        </w:tc>
      </w:tr>
      <w:tr w14:paraId="51207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3" w:type="dxa"/>
            <w:vAlign w:val="center"/>
          </w:tcPr>
          <w:p w14:paraId="28D69666">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1</w:t>
            </w:r>
          </w:p>
        </w:tc>
        <w:tc>
          <w:tcPr>
            <w:tcW w:w="2517" w:type="dxa"/>
            <w:vAlign w:val="center"/>
          </w:tcPr>
          <w:p w14:paraId="4B548A57">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公开询价单位</w:t>
            </w:r>
          </w:p>
        </w:tc>
        <w:tc>
          <w:tcPr>
            <w:tcW w:w="5233" w:type="dxa"/>
            <w:vAlign w:val="center"/>
          </w:tcPr>
          <w:p w14:paraId="054C09CB">
            <w:pPr>
              <w:spacing w:line="360" w:lineRule="atLeast"/>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海南洋浦陆海能源发展有限公司</w:t>
            </w:r>
          </w:p>
        </w:tc>
      </w:tr>
      <w:tr w14:paraId="1F2071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863" w:type="dxa"/>
            <w:vAlign w:val="center"/>
          </w:tcPr>
          <w:p w14:paraId="648BFB0A">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2</w:t>
            </w:r>
          </w:p>
        </w:tc>
        <w:tc>
          <w:tcPr>
            <w:tcW w:w="2517" w:type="dxa"/>
            <w:vAlign w:val="center"/>
          </w:tcPr>
          <w:p w14:paraId="692A9296">
            <w:pPr>
              <w:spacing w:line="360" w:lineRule="atLeast"/>
              <w:ind w:left="720" w:hanging="720" w:hangingChars="300"/>
              <w:jc w:val="center"/>
              <w:rPr>
                <w:rFonts w:hint="eastAsia" w:ascii="楷体" w:hAnsi="楷体" w:eastAsia="楷体" w:cs="楷体"/>
                <w:color w:val="auto"/>
                <w:sz w:val="24"/>
                <w:szCs w:val="24"/>
              </w:rPr>
            </w:pPr>
            <w:r>
              <w:rPr>
                <w:rFonts w:hint="eastAsia" w:ascii="楷体" w:hAnsi="楷体" w:eastAsia="楷体" w:cs="楷体"/>
                <w:color w:val="auto"/>
                <w:sz w:val="24"/>
                <w:szCs w:val="24"/>
              </w:rPr>
              <w:t>公开询价内容</w:t>
            </w:r>
          </w:p>
        </w:tc>
        <w:tc>
          <w:tcPr>
            <w:tcW w:w="5233" w:type="dxa"/>
          </w:tcPr>
          <w:p w14:paraId="21466A2C">
            <w:pPr>
              <w:spacing w:line="360" w:lineRule="atLeast"/>
              <w:ind w:left="720" w:hanging="720" w:hangingChars="300"/>
              <w:jc w:val="center"/>
              <w:rPr>
                <w:rFonts w:hint="eastAsia" w:ascii="楷体" w:hAnsi="楷体" w:eastAsia="楷体" w:cs="楷体"/>
                <w:color w:val="auto"/>
                <w:sz w:val="24"/>
                <w:szCs w:val="24"/>
              </w:rPr>
            </w:pPr>
            <w:r>
              <w:rPr>
                <w:rFonts w:hint="eastAsia" w:ascii="楷体" w:hAnsi="楷体" w:eastAsia="楷体" w:cs="楷体"/>
                <w:color w:val="auto"/>
                <w:sz w:val="24"/>
                <w:szCs w:val="24"/>
              </w:rPr>
              <w:t>1.采购货物（服务）名称/数量（详见报价书）；</w:t>
            </w:r>
          </w:p>
          <w:p w14:paraId="2563E01F">
            <w:pPr>
              <w:spacing w:line="360" w:lineRule="atLeast"/>
              <w:ind w:left="720" w:hanging="720" w:hangingChars="300"/>
              <w:jc w:val="center"/>
              <w:rPr>
                <w:rFonts w:hint="eastAsia" w:ascii="楷体" w:hAnsi="楷体" w:eastAsia="楷体" w:cs="楷体"/>
                <w:color w:val="auto"/>
                <w:sz w:val="24"/>
                <w:szCs w:val="24"/>
              </w:rPr>
            </w:pPr>
            <w:r>
              <w:rPr>
                <w:rFonts w:hint="eastAsia" w:ascii="楷体" w:hAnsi="楷体" w:eastAsia="楷体" w:cs="楷体"/>
                <w:color w:val="auto"/>
                <w:sz w:val="24"/>
                <w:szCs w:val="24"/>
              </w:rPr>
              <w:t>2.工期/服务期（详见</w:t>
            </w:r>
            <w:r>
              <w:rPr>
                <w:rFonts w:hint="eastAsia" w:ascii="楷体" w:hAnsi="楷体" w:eastAsia="楷体" w:cs="楷体"/>
                <w:color w:val="auto"/>
                <w:sz w:val="24"/>
                <w:szCs w:val="24"/>
                <w:lang w:val="en-US" w:eastAsia="zh-CN"/>
              </w:rPr>
              <w:t>供应商</w:t>
            </w:r>
            <w:r>
              <w:rPr>
                <w:rFonts w:hint="eastAsia" w:ascii="楷体" w:hAnsi="楷体" w:eastAsia="楷体" w:cs="楷体"/>
                <w:color w:val="auto"/>
                <w:sz w:val="24"/>
                <w:szCs w:val="24"/>
              </w:rPr>
              <w:t>须知）；</w:t>
            </w:r>
          </w:p>
          <w:p w14:paraId="0399B957">
            <w:pPr>
              <w:spacing w:line="360" w:lineRule="atLeast"/>
              <w:ind w:left="720" w:hanging="720" w:hangingChars="300"/>
              <w:jc w:val="center"/>
              <w:rPr>
                <w:rFonts w:hint="eastAsia" w:ascii="楷体" w:hAnsi="楷体" w:eastAsia="楷体" w:cs="楷体"/>
                <w:color w:val="auto"/>
                <w:sz w:val="24"/>
                <w:szCs w:val="24"/>
              </w:rPr>
            </w:pPr>
            <w:r>
              <w:rPr>
                <w:rFonts w:hint="eastAsia" w:ascii="楷体" w:hAnsi="楷体" w:eastAsia="楷体" w:cs="楷体"/>
                <w:color w:val="auto"/>
                <w:sz w:val="24"/>
                <w:szCs w:val="24"/>
              </w:rPr>
              <w:t>3.报价人资格要求（详见供应商须知）</w:t>
            </w:r>
          </w:p>
          <w:p w14:paraId="3B67FB4C">
            <w:pPr>
              <w:spacing w:line="360" w:lineRule="atLeast"/>
              <w:ind w:left="720" w:hanging="720" w:hangingChars="300"/>
              <w:jc w:val="center"/>
              <w:rPr>
                <w:rFonts w:hint="eastAsia" w:ascii="楷体" w:hAnsi="楷体" w:eastAsia="楷体" w:cs="楷体"/>
                <w:color w:val="auto"/>
                <w:sz w:val="24"/>
                <w:szCs w:val="24"/>
              </w:rPr>
            </w:pPr>
            <w:r>
              <w:rPr>
                <w:rFonts w:hint="eastAsia" w:ascii="楷体" w:hAnsi="楷体" w:eastAsia="楷体" w:cs="楷体"/>
                <w:color w:val="auto"/>
                <w:sz w:val="24"/>
                <w:szCs w:val="24"/>
              </w:rPr>
              <w:t>3.公开询价报价文件获取方式：在网页附件处下载电子版文件</w:t>
            </w:r>
          </w:p>
        </w:tc>
      </w:tr>
      <w:tr w14:paraId="5AC6A3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863" w:type="dxa"/>
            <w:vAlign w:val="center"/>
          </w:tcPr>
          <w:p w14:paraId="3AAB00EA">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3</w:t>
            </w:r>
          </w:p>
        </w:tc>
        <w:tc>
          <w:tcPr>
            <w:tcW w:w="2517" w:type="dxa"/>
            <w:vAlign w:val="center"/>
          </w:tcPr>
          <w:p w14:paraId="4D4EE6F3">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开始时间</w:t>
            </w:r>
          </w:p>
        </w:tc>
        <w:tc>
          <w:tcPr>
            <w:tcW w:w="5233" w:type="dxa"/>
            <w:vAlign w:val="center"/>
          </w:tcPr>
          <w:p w14:paraId="66FEDF3A">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202</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年</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月</w:t>
            </w:r>
            <w:r>
              <w:rPr>
                <w:rFonts w:hint="eastAsia" w:ascii="楷体" w:hAnsi="楷体" w:eastAsia="楷体" w:cs="楷体"/>
                <w:color w:val="auto"/>
                <w:sz w:val="24"/>
                <w:szCs w:val="24"/>
                <w:lang w:val="en-US" w:eastAsia="zh-CN"/>
              </w:rPr>
              <w:t>23</w:t>
            </w:r>
            <w:r>
              <w:rPr>
                <w:rFonts w:hint="eastAsia" w:ascii="楷体" w:hAnsi="楷体" w:eastAsia="楷体" w:cs="楷体"/>
                <w:color w:val="auto"/>
                <w:sz w:val="24"/>
                <w:szCs w:val="24"/>
              </w:rPr>
              <w:t>日</w:t>
            </w:r>
          </w:p>
        </w:tc>
      </w:tr>
      <w:tr w14:paraId="45DE3F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3" w:hRule="exact"/>
        </w:trPr>
        <w:tc>
          <w:tcPr>
            <w:tcW w:w="863" w:type="dxa"/>
            <w:vAlign w:val="center"/>
          </w:tcPr>
          <w:p w14:paraId="118C0F4C">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4</w:t>
            </w:r>
          </w:p>
        </w:tc>
        <w:tc>
          <w:tcPr>
            <w:tcW w:w="2517" w:type="dxa"/>
            <w:vAlign w:val="center"/>
          </w:tcPr>
          <w:p w14:paraId="453399AC">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报价书递交时间地点</w:t>
            </w:r>
          </w:p>
        </w:tc>
        <w:tc>
          <w:tcPr>
            <w:tcW w:w="5233" w:type="dxa"/>
            <w:vAlign w:val="center"/>
          </w:tcPr>
          <w:p w14:paraId="679B24C3">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截至202</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年</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月</w:t>
            </w:r>
            <w:r>
              <w:rPr>
                <w:rFonts w:hint="eastAsia" w:ascii="楷体" w:hAnsi="楷体" w:eastAsia="楷体" w:cs="楷体"/>
                <w:color w:val="auto"/>
                <w:sz w:val="24"/>
                <w:szCs w:val="24"/>
                <w:lang w:val="en-US" w:eastAsia="zh-CN"/>
              </w:rPr>
              <w:t>28</w:t>
            </w:r>
            <w:r>
              <w:rPr>
                <w:rFonts w:hint="eastAsia" w:ascii="楷体" w:hAnsi="楷体" w:eastAsia="楷体" w:cs="楷体"/>
                <w:color w:val="auto"/>
                <w:sz w:val="24"/>
                <w:szCs w:val="24"/>
              </w:rPr>
              <w:t>日上午</w:t>
            </w:r>
            <w:r>
              <w:rPr>
                <w:rFonts w:hint="eastAsia" w:ascii="楷体" w:hAnsi="楷体" w:eastAsia="楷体" w:cs="楷体"/>
                <w:color w:val="auto"/>
                <w:sz w:val="24"/>
                <w:szCs w:val="24"/>
                <w:lang w:val="en-US" w:eastAsia="zh-CN"/>
              </w:rPr>
              <w:t>11</w:t>
            </w:r>
            <w:r>
              <w:rPr>
                <w:rFonts w:hint="eastAsia" w:ascii="楷体" w:hAnsi="楷体" w:eastAsia="楷体" w:cs="楷体"/>
                <w:color w:val="auto"/>
                <w:sz w:val="24"/>
                <w:szCs w:val="24"/>
              </w:rPr>
              <w:t>：00将加盖公章的电子版发送至指定电子邮箱luhaimygs@hnyplh.com或将纸质版送至洋浦大厦3楼311室</w:t>
            </w:r>
          </w:p>
        </w:tc>
      </w:tr>
      <w:tr w14:paraId="145A64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863" w:type="dxa"/>
            <w:vAlign w:val="center"/>
          </w:tcPr>
          <w:p w14:paraId="7A334834">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5</w:t>
            </w:r>
          </w:p>
        </w:tc>
        <w:tc>
          <w:tcPr>
            <w:tcW w:w="2517" w:type="dxa"/>
            <w:vAlign w:val="center"/>
          </w:tcPr>
          <w:p w14:paraId="1C65E16A">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联系人及电话</w:t>
            </w:r>
          </w:p>
        </w:tc>
        <w:tc>
          <w:tcPr>
            <w:tcW w:w="5233" w:type="dxa"/>
            <w:vAlign w:val="center"/>
          </w:tcPr>
          <w:p w14:paraId="0B854FFD">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胡工/0898-28810376</w:t>
            </w:r>
          </w:p>
        </w:tc>
      </w:tr>
      <w:tr w14:paraId="525211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4" w:hRule="exact"/>
        </w:trPr>
        <w:tc>
          <w:tcPr>
            <w:tcW w:w="863" w:type="dxa"/>
            <w:vAlign w:val="center"/>
          </w:tcPr>
          <w:p w14:paraId="6ACA351B">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6</w:t>
            </w:r>
          </w:p>
        </w:tc>
        <w:tc>
          <w:tcPr>
            <w:tcW w:w="2517" w:type="dxa"/>
            <w:vAlign w:val="center"/>
          </w:tcPr>
          <w:p w14:paraId="6A643269">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评分方法</w:t>
            </w:r>
          </w:p>
        </w:tc>
        <w:tc>
          <w:tcPr>
            <w:tcW w:w="5233" w:type="dxa"/>
            <w:vAlign w:val="center"/>
          </w:tcPr>
          <w:p w14:paraId="20EECBAD">
            <w:pPr>
              <w:spacing w:line="360" w:lineRule="atLeast"/>
              <w:jc w:val="left"/>
              <w:rPr>
                <w:rFonts w:hint="eastAsia" w:ascii="楷体" w:hAnsi="楷体" w:eastAsia="楷体" w:cs="楷体"/>
                <w:color w:val="auto"/>
                <w:sz w:val="24"/>
                <w:szCs w:val="24"/>
              </w:rPr>
            </w:pPr>
            <w:r>
              <w:rPr>
                <w:rFonts w:hint="eastAsia" w:ascii="楷体" w:hAnsi="楷体" w:eastAsia="楷体" w:cs="楷体"/>
                <w:color w:val="auto"/>
                <w:sz w:val="24"/>
                <w:szCs w:val="24"/>
              </w:rPr>
              <w:t>综合评审法</w:t>
            </w:r>
          </w:p>
          <w:p w14:paraId="0408640C">
            <w:pPr>
              <w:spacing w:line="360" w:lineRule="atLeast"/>
              <w:jc w:val="left"/>
              <w:rPr>
                <w:rFonts w:hint="eastAsia" w:ascii="楷体" w:hAnsi="楷体" w:eastAsia="楷体" w:cs="楷体"/>
                <w:color w:val="auto"/>
                <w:sz w:val="24"/>
                <w:szCs w:val="24"/>
              </w:rPr>
            </w:pPr>
            <w:r>
              <w:rPr>
                <w:rFonts w:hint="eastAsia" w:ascii="楷体" w:hAnsi="楷体" w:eastAsia="楷体" w:cs="楷体"/>
                <w:color w:val="auto"/>
                <w:sz w:val="24"/>
                <w:szCs w:val="24"/>
              </w:rPr>
              <w:t>1、初步评审：</w:t>
            </w:r>
          </w:p>
          <w:p w14:paraId="50F2DCAD">
            <w:pPr>
              <w:spacing w:line="360" w:lineRule="atLeast"/>
              <w:jc w:val="left"/>
              <w:rPr>
                <w:rFonts w:hint="eastAsia" w:ascii="楷体" w:hAnsi="楷体" w:eastAsia="楷体" w:cs="楷体"/>
                <w:color w:val="auto"/>
                <w:sz w:val="24"/>
                <w:szCs w:val="24"/>
              </w:rPr>
            </w:pPr>
            <w:r>
              <w:rPr>
                <w:rFonts w:hint="eastAsia" w:ascii="楷体" w:hAnsi="楷体" w:eastAsia="楷体" w:cs="楷体"/>
                <w:color w:val="auto"/>
                <w:sz w:val="24"/>
                <w:szCs w:val="24"/>
              </w:rPr>
              <w:t>评审小组依据报价人资格要求对报价人的报价文件进行初步评审，判断报价文件是否符合要求，只有评审合格的报价文件才可通过初步评审。</w:t>
            </w:r>
          </w:p>
          <w:p w14:paraId="1008BB28">
            <w:pPr>
              <w:spacing w:line="360" w:lineRule="atLeast"/>
              <w:jc w:val="left"/>
              <w:rPr>
                <w:rFonts w:hint="eastAsia" w:ascii="楷体" w:hAnsi="楷体" w:eastAsia="楷体" w:cs="楷体"/>
                <w:color w:val="auto"/>
                <w:sz w:val="24"/>
                <w:szCs w:val="24"/>
              </w:rPr>
            </w:pPr>
            <w:r>
              <w:rPr>
                <w:rFonts w:hint="eastAsia" w:ascii="楷体" w:hAnsi="楷体" w:eastAsia="楷体" w:cs="楷体"/>
                <w:color w:val="auto"/>
                <w:sz w:val="24"/>
                <w:szCs w:val="24"/>
              </w:rPr>
              <w:t>2、详细评审：</w:t>
            </w:r>
          </w:p>
          <w:p w14:paraId="3A00ACFF">
            <w:pPr>
              <w:spacing w:line="360" w:lineRule="atLeast"/>
              <w:jc w:val="left"/>
              <w:rPr>
                <w:rFonts w:hint="eastAsia" w:ascii="楷体" w:hAnsi="楷体" w:eastAsia="楷体" w:cs="楷体"/>
                <w:color w:val="auto"/>
                <w:sz w:val="24"/>
                <w:szCs w:val="24"/>
                <w:lang w:eastAsia="zh-CN"/>
              </w:rPr>
            </w:pPr>
            <w:r>
              <w:rPr>
                <w:rFonts w:hint="eastAsia" w:ascii="楷体" w:hAnsi="楷体" w:eastAsia="楷体" w:cs="楷体"/>
                <w:color w:val="auto"/>
                <w:sz w:val="24"/>
                <w:szCs w:val="24"/>
              </w:rPr>
              <w:t>1、通过符合性审查的报价单位，进入详细评审</w:t>
            </w:r>
            <w:r>
              <w:rPr>
                <w:rFonts w:hint="eastAsia" w:ascii="楷体" w:hAnsi="楷体" w:eastAsia="楷体" w:cs="楷体"/>
                <w:color w:val="auto"/>
                <w:sz w:val="24"/>
                <w:szCs w:val="24"/>
                <w:lang w:eastAsia="zh-CN"/>
              </w:rPr>
              <w:t>；</w:t>
            </w:r>
          </w:p>
          <w:p w14:paraId="46F986B5">
            <w:pPr>
              <w:spacing w:line="360" w:lineRule="atLeast"/>
              <w:jc w:val="left"/>
              <w:rPr>
                <w:rFonts w:hint="eastAsia" w:ascii="楷体" w:hAnsi="楷体" w:eastAsia="楷体" w:cs="楷体"/>
                <w:color w:val="auto"/>
                <w:sz w:val="24"/>
                <w:szCs w:val="24"/>
                <w:lang w:eastAsia="zh-CN"/>
              </w:rPr>
            </w:pPr>
            <w:r>
              <w:rPr>
                <w:rFonts w:hint="eastAsia" w:ascii="楷体" w:hAnsi="楷体" w:eastAsia="楷体" w:cs="楷体"/>
                <w:color w:val="auto"/>
                <w:sz w:val="24"/>
                <w:szCs w:val="24"/>
              </w:rPr>
              <w:t>2、</w:t>
            </w:r>
            <w:bookmarkStart w:id="45" w:name="_GoBack"/>
            <w:r>
              <w:rPr>
                <w:rFonts w:hint="eastAsia" w:ascii="楷体" w:hAnsi="楷体" w:eastAsia="楷体" w:cs="楷体"/>
                <w:color w:val="auto"/>
                <w:sz w:val="24"/>
                <w:szCs w:val="24"/>
              </w:rPr>
              <w:t>详细评审分值构成：（1）商务技术部分：70分  （2）价格部分：30分</w:t>
            </w:r>
            <w:r>
              <w:rPr>
                <w:rFonts w:hint="eastAsia" w:ascii="楷体" w:hAnsi="楷体" w:eastAsia="楷体" w:cs="楷体"/>
                <w:color w:val="auto"/>
                <w:sz w:val="24"/>
                <w:szCs w:val="24"/>
                <w:lang w:eastAsia="zh-CN"/>
              </w:rPr>
              <w:t>；</w:t>
            </w:r>
          </w:p>
          <w:bookmarkEnd w:id="45"/>
          <w:p w14:paraId="6DB19FF3">
            <w:pPr>
              <w:spacing w:line="360" w:lineRule="atLeast"/>
              <w:jc w:val="left"/>
              <w:rPr>
                <w:rFonts w:hint="eastAsia" w:ascii="楷体" w:hAnsi="楷体" w:eastAsia="楷体" w:cs="楷体"/>
                <w:color w:val="auto"/>
                <w:sz w:val="24"/>
                <w:szCs w:val="24"/>
              </w:rPr>
            </w:pPr>
            <w:r>
              <w:rPr>
                <w:rFonts w:hint="eastAsia" w:ascii="楷体" w:hAnsi="楷体" w:eastAsia="楷体" w:cs="楷体"/>
                <w:color w:val="auto"/>
                <w:sz w:val="24"/>
                <w:szCs w:val="24"/>
              </w:rPr>
              <w:t>3、评审标准：（1）商务技术评分标准：见商务技术评分表；（2）报价评分标准：见价格评分办法。</w:t>
            </w:r>
          </w:p>
        </w:tc>
      </w:tr>
      <w:tr w14:paraId="0A791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863" w:type="dxa"/>
            <w:vAlign w:val="center"/>
          </w:tcPr>
          <w:p w14:paraId="31662A5F">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7</w:t>
            </w:r>
          </w:p>
        </w:tc>
        <w:tc>
          <w:tcPr>
            <w:tcW w:w="2517" w:type="dxa"/>
            <w:vAlign w:val="center"/>
          </w:tcPr>
          <w:p w14:paraId="37744CE3">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采购控制价</w:t>
            </w:r>
          </w:p>
        </w:tc>
        <w:tc>
          <w:tcPr>
            <w:tcW w:w="5233" w:type="dxa"/>
            <w:vAlign w:val="center"/>
          </w:tcPr>
          <w:p w14:paraId="03B67A28">
            <w:pPr>
              <w:spacing w:line="360" w:lineRule="atLeast"/>
              <w:jc w:val="center"/>
              <w:rPr>
                <w:rFonts w:hint="eastAsia" w:ascii="楷体" w:hAnsi="楷体" w:eastAsia="楷体" w:cs="楷体"/>
                <w:color w:val="auto"/>
                <w:sz w:val="24"/>
                <w:szCs w:val="24"/>
              </w:rPr>
            </w:pPr>
            <w:r>
              <w:rPr>
                <w:rFonts w:ascii="楷体" w:hAnsi="楷体" w:eastAsia="楷体" w:cs="楷体"/>
                <w:color w:val="auto"/>
                <w:sz w:val="24"/>
                <w:szCs w:val="24"/>
              </w:rPr>
              <w:t>最高限价为30,000</w:t>
            </w:r>
            <w:r>
              <w:rPr>
                <w:rFonts w:hint="eastAsia" w:ascii="楷体" w:hAnsi="楷体" w:eastAsia="楷体" w:cs="楷体"/>
                <w:color w:val="auto"/>
                <w:sz w:val="24"/>
                <w:szCs w:val="24"/>
              </w:rPr>
              <w:t>.00</w:t>
            </w:r>
            <w:r>
              <w:rPr>
                <w:rFonts w:ascii="楷体" w:hAnsi="楷体" w:eastAsia="楷体" w:cs="楷体"/>
                <w:color w:val="auto"/>
                <w:sz w:val="24"/>
                <w:szCs w:val="24"/>
              </w:rPr>
              <w:t>元</w:t>
            </w:r>
          </w:p>
        </w:tc>
      </w:tr>
      <w:tr w14:paraId="2D53F1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863" w:type="dxa"/>
            <w:vAlign w:val="center"/>
          </w:tcPr>
          <w:p w14:paraId="620B5655">
            <w:pPr>
              <w:spacing w:line="360" w:lineRule="atLeast"/>
              <w:jc w:val="center"/>
              <w:rPr>
                <w:rFonts w:hint="eastAsia" w:ascii="楷体_GB2312" w:hAnsi="楷体_GB2312" w:eastAsia="楷体_GB2312" w:cs="楷体_GB2312"/>
                <w:color w:val="auto"/>
                <w:sz w:val="24"/>
                <w:szCs w:val="24"/>
              </w:rPr>
            </w:pPr>
            <w:r>
              <w:rPr>
                <w:rFonts w:hint="eastAsia" w:ascii="楷体" w:hAnsi="楷体" w:eastAsia="楷体" w:cs="楷体"/>
                <w:color w:val="auto"/>
                <w:sz w:val="24"/>
                <w:szCs w:val="24"/>
              </w:rPr>
              <w:t>8</w:t>
            </w:r>
          </w:p>
        </w:tc>
        <w:tc>
          <w:tcPr>
            <w:tcW w:w="2517" w:type="dxa"/>
            <w:vAlign w:val="center"/>
          </w:tcPr>
          <w:p w14:paraId="67FBEEB7">
            <w:pPr>
              <w:spacing w:line="360" w:lineRule="atLeast"/>
              <w:jc w:val="center"/>
              <w:rPr>
                <w:rFonts w:hint="eastAsia" w:ascii="楷体_GB2312" w:hAnsi="楷体_GB2312" w:eastAsia="楷体_GB2312" w:cs="楷体_GB2312"/>
                <w:color w:val="auto"/>
                <w:sz w:val="24"/>
                <w:szCs w:val="24"/>
              </w:rPr>
            </w:pPr>
            <w:r>
              <w:rPr>
                <w:rFonts w:hint="eastAsia" w:ascii="楷体" w:hAnsi="楷体" w:eastAsia="楷体" w:cs="楷体"/>
                <w:color w:val="auto"/>
                <w:sz w:val="24"/>
                <w:szCs w:val="24"/>
              </w:rPr>
              <w:t>廉政监督电话</w:t>
            </w:r>
          </w:p>
        </w:tc>
        <w:tc>
          <w:tcPr>
            <w:tcW w:w="5233" w:type="dxa"/>
            <w:vAlign w:val="center"/>
          </w:tcPr>
          <w:p w14:paraId="4701DBA4">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 xml:space="preserve">0898-28810186 </w:t>
            </w:r>
          </w:p>
        </w:tc>
      </w:tr>
    </w:tbl>
    <w:p w14:paraId="4B7816D4">
      <w:pPr>
        <w:spacing w:line="360" w:lineRule="atLeast"/>
        <w:jc w:val="center"/>
        <w:rPr>
          <w:rFonts w:hint="eastAsia" w:ascii="楷体" w:hAnsi="楷体" w:eastAsia="楷体" w:cs="楷体"/>
          <w:color w:val="auto"/>
          <w:sz w:val="24"/>
          <w:szCs w:val="24"/>
        </w:rPr>
        <w:sectPr>
          <w:headerReference r:id="rId9" w:type="default"/>
          <w:pgSz w:w="11906" w:h="16838"/>
          <w:pgMar w:top="1440" w:right="1800" w:bottom="1247" w:left="1800" w:header="851" w:footer="992" w:gutter="0"/>
          <w:cols w:space="0" w:num="1"/>
          <w:docGrid w:type="lines" w:linePitch="312" w:charSpace="0"/>
        </w:sectPr>
      </w:pPr>
    </w:p>
    <w:tbl>
      <w:tblPr>
        <w:tblStyle w:val="20"/>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17"/>
        <w:gridCol w:w="5233"/>
      </w:tblGrid>
      <w:tr w14:paraId="2A7CC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83" w:hRule="exact"/>
        </w:trPr>
        <w:tc>
          <w:tcPr>
            <w:tcW w:w="863" w:type="dxa"/>
            <w:vAlign w:val="center"/>
          </w:tcPr>
          <w:p w14:paraId="0686EDF6">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10</w:t>
            </w:r>
          </w:p>
        </w:tc>
        <w:tc>
          <w:tcPr>
            <w:tcW w:w="2517" w:type="dxa"/>
            <w:vAlign w:val="center"/>
          </w:tcPr>
          <w:p w14:paraId="0163B3E3">
            <w:pPr>
              <w:spacing w:line="360"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其他要求</w:t>
            </w:r>
          </w:p>
        </w:tc>
        <w:tc>
          <w:tcPr>
            <w:tcW w:w="5233" w:type="dxa"/>
            <w:vAlign w:val="center"/>
          </w:tcPr>
          <w:p w14:paraId="68F8C3CF">
            <w:pPr>
              <w:spacing w:line="360" w:lineRule="atLeast"/>
              <w:jc w:val="left"/>
              <w:rPr>
                <w:rFonts w:hint="eastAsia" w:ascii="楷体" w:hAnsi="楷体" w:eastAsia="楷体" w:cs="楷体"/>
                <w:color w:val="auto"/>
                <w:sz w:val="24"/>
                <w:szCs w:val="24"/>
              </w:rPr>
            </w:pPr>
            <w:r>
              <w:rPr>
                <w:rFonts w:ascii="楷体" w:hAnsi="楷体" w:eastAsia="楷体" w:cs="楷体"/>
                <w:color w:val="auto"/>
                <w:sz w:val="24"/>
                <w:szCs w:val="24"/>
              </w:rPr>
              <w:t>报价人必须保证响应文件所提供的全部资料真实可靠，并接受采购人对其中任何资料在合同最终授予前进一步审查的要求，如若存在报价人利用弄虚作假等不当手段谋取成交的，一经查实，采购人有权予以否决，并保留进一步追究其责任的权利。</w:t>
            </w:r>
          </w:p>
        </w:tc>
      </w:tr>
    </w:tbl>
    <w:p w14:paraId="10CA5375">
      <w:pPr>
        <w:rPr>
          <w:rFonts w:hint="eastAsia" w:ascii="楷体_GB2312" w:hAnsi="楷体_GB2312" w:eastAsia="楷体_GB2312" w:cs="楷体_GB2312"/>
          <w:color w:val="auto"/>
          <w:szCs w:val="24"/>
        </w:rPr>
      </w:pPr>
      <w:r>
        <w:rPr>
          <w:rFonts w:hint="eastAsia" w:ascii="楷体_GB2312" w:hAnsi="楷体_GB2312" w:eastAsia="楷体_GB2312" w:cs="楷体_GB2312"/>
          <w:color w:val="auto"/>
          <w:szCs w:val="24"/>
        </w:rPr>
        <w:br w:type="page"/>
      </w:r>
    </w:p>
    <w:bookmarkEnd w:id="0"/>
    <w:bookmarkEnd w:id="1"/>
    <w:p w14:paraId="3CF067B3">
      <w:pPr>
        <w:pStyle w:val="29"/>
        <w:numPr>
          <w:ilvl w:val="0"/>
          <w:numId w:val="2"/>
        </w:numPr>
        <w:rPr>
          <w:rFonts w:hint="eastAsia" w:ascii="楷体" w:hAnsi="楷体" w:eastAsia="楷体" w:cs="楷体"/>
          <w:b/>
          <w:bCs w:val="0"/>
          <w:color w:val="auto"/>
        </w:rPr>
      </w:pPr>
      <w:bookmarkStart w:id="3" w:name="_Toc655"/>
      <w:r>
        <w:rPr>
          <w:rFonts w:hint="eastAsia" w:ascii="楷体" w:hAnsi="楷体" w:eastAsia="楷体" w:cs="楷体"/>
          <w:b/>
          <w:bCs w:val="0"/>
          <w:color w:val="auto"/>
        </w:rPr>
        <w:t>供应商须知</w:t>
      </w:r>
      <w:bookmarkEnd w:id="3"/>
    </w:p>
    <w:p w14:paraId="6DC720B5">
      <w:pPr>
        <w:pStyle w:val="2"/>
        <w:spacing w:before="100" w:after="100" w:line="400" w:lineRule="exact"/>
        <w:rPr>
          <w:rFonts w:hint="eastAsia" w:ascii="楷体" w:hAnsi="楷体" w:eastAsia="楷体" w:cs="楷体"/>
          <w:color w:val="auto"/>
          <w:sz w:val="24"/>
          <w:szCs w:val="24"/>
        </w:rPr>
      </w:pPr>
      <w:bookmarkStart w:id="4" w:name="_Toc7160"/>
      <w:bookmarkStart w:id="5" w:name="_Toc343692940"/>
      <w:bookmarkStart w:id="6" w:name="_Toc343700738"/>
      <w:bookmarkStart w:id="7" w:name="_Toc9139"/>
      <w:r>
        <w:rPr>
          <w:rFonts w:hint="eastAsia" w:ascii="楷体" w:hAnsi="楷体" w:eastAsia="楷体" w:cs="楷体"/>
          <w:color w:val="auto"/>
          <w:sz w:val="24"/>
          <w:szCs w:val="24"/>
        </w:rPr>
        <w:t>一、总则</w:t>
      </w:r>
      <w:bookmarkEnd w:id="4"/>
      <w:bookmarkEnd w:id="5"/>
      <w:bookmarkEnd w:id="6"/>
      <w:bookmarkEnd w:id="7"/>
    </w:p>
    <w:p w14:paraId="0B3EA210">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(一)原则</w:t>
      </w:r>
    </w:p>
    <w:p w14:paraId="7CDBFF46">
      <w:pPr>
        <w:spacing w:line="400" w:lineRule="exact"/>
        <w:ind w:firstLine="480"/>
        <w:rPr>
          <w:rFonts w:hint="eastAsia" w:ascii="楷体" w:hAnsi="楷体" w:eastAsia="楷体" w:cs="楷体"/>
          <w:bCs/>
          <w:color w:val="auto"/>
          <w:sz w:val="24"/>
          <w:szCs w:val="24"/>
        </w:rPr>
      </w:pPr>
      <w:r>
        <w:rPr>
          <w:rFonts w:hint="eastAsia" w:ascii="楷体" w:hAnsi="楷体" w:eastAsia="楷体" w:cs="楷体"/>
          <w:bCs/>
          <w:color w:val="auto"/>
          <w:sz w:val="24"/>
          <w:szCs w:val="24"/>
        </w:rPr>
        <w:t>坚持公开、公正、公平和诚实信用的原则。坚持质量优先，价格合理，科学评估，规范运作。</w:t>
      </w:r>
    </w:p>
    <w:p w14:paraId="1EDD1ADD">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(二）采购项目简介</w:t>
      </w:r>
    </w:p>
    <w:p w14:paraId="235C62A2">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1、项目名称：</w:t>
      </w:r>
      <w:r>
        <w:rPr>
          <w:rFonts w:hint="eastAsia" w:ascii="楷体" w:hAnsi="楷体" w:eastAsia="楷体" w:cs="楷体"/>
          <w:bCs/>
          <w:color w:val="auto"/>
          <w:sz w:val="24"/>
          <w:szCs w:val="24"/>
          <w:lang w:eastAsia="zh-CN"/>
        </w:rPr>
        <w:t>洋浦迎宾馆用户侧储能项目</w:t>
      </w:r>
      <w:r>
        <w:rPr>
          <w:rFonts w:hint="eastAsia" w:ascii="楷体" w:hAnsi="楷体" w:eastAsia="楷体" w:cs="楷体"/>
          <w:bCs/>
          <w:color w:val="auto"/>
          <w:sz w:val="24"/>
          <w:szCs w:val="24"/>
          <w:lang w:val="en-US" w:eastAsia="zh-CN"/>
        </w:rPr>
        <w:t>可行性研究报告</w:t>
      </w:r>
      <w:r>
        <w:rPr>
          <w:rFonts w:hint="eastAsia" w:ascii="楷体" w:hAnsi="楷体" w:eastAsia="楷体" w:cs="楷体"/>
          <w:bCs/>
          <w:color w:val="auto"/>
          <w:sz w:val="24"/>
          <w:szCs w:val="24"/>
        </w:rPr>
        <w:t xml:space="preserve">编制服务   </w:t>
      </w:r>
    </w:p>
    <w:p w14:paraId="2A40AC3B">
      <w:pPr>
        <w:spacing w:line="400" w:lineRule="exact"/>
        <w:ind w:firstLine="480" w:firstLineChars="200"/>
        <w:rPr>
          <w:rFonts w:hint="eastAsia" w:ascii="楷体" w:hAnsi="楷体" w:eastAsia="楷体" w:cs="楷体"/>
          <w:bCs/>
          <w:color w:val="auto"/>
          <w:sz w:val="24"/>
          <w:szCs w:val="24"/>
          <w:lang w:eastAsia="zh-CN"/>
        </w:rPr>
      </w:pPr>
      <w:r>
        <w:rPr>
          <w:rFonts w:hint="eastAsia" w:ascii="楷体" w:hAnsi="楷体" w:eastAsia="楷体" w:cs="楷体"/>
          <w:bCs/>
          <w:color w:val="auto"/>
          <w:sz w:val="24"/>
          <w:szCs w:val="24"/>
        </w:rPr>
        <w:t>2、采购人：</w:t>
      </w:r>
      <w:r>
        <w:rPr>
          <w:rFonts w:hint="eastAsia" w:ascii="楷体" w:hAnsi="楷体" w:eastAsia="楷体" w:cs="楷体"/>
          <w:bCs/>
          <w:color w:val="auto"/>
          <w:sz w:val="24"/>
          <w:szCs w:val="24"/>
          <w:lang w:eastAsia="zh-CN"/>
        </w:rPr>
        <w:t>海南洋浦陆海能源发展有限公司</w:t>
      </w:r>
    </w:p>
    <w:p w14:paraId="0E1C22F0">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3、工期/服务期：</w:t>
      </w:r>
      <w:r>
        <w:rPr>
          <w:rFonts w:hint="eastAsia" w:ascii="楷体" w:hAnsi="楷体" w:eastAsia="楷体" w:cs="楷体"/>
          <w:bCs/>
          <w:color w:val="auto"/>
          <w:sz w:val="24"/>
          <w:szCs w:val="24"/>
          <w:lang w:val="en-US" w:eastAsia="zh-CN"/>
        </w:rPr>
        <w:t>成交后10个工作日</w:t>
      </w:r>
      <w:r>
        <w:rPr>
          <w:rFonts w:hint="eastAsia" w:ascii="楷体" w:hAnsi="楷体" w:eastAsia="楷体" w:cs="楷体"/>
          <w:bCs/>
          <w:color w:val="auto"/>
          <w:sz w:val="24"/>
          <w:szCs w:val="24"/>
        </w:rPr>
        <w:t>内完成报告初稿编制，</w:t>
      </w:r>
      <w:r>
        <w:rPr>
          <w:rFonts w:hint="eastAsia" w:ascii="楷体" w:hAnsi="楷体" w:eastAsia="楷体" w:cs="楷体"/>
          <w:bCs/>
          <w:color w:val="auto"/>
          <w:sz w:val="24"/>
          <w:szCs w:val="24"/>
          <w:lang w:val="en-US" w:eastAsia="zh-CN"/>
        </w:rPr>
        <w:t>20</w:t>
      </w:r>
      <w:r>
        <w:rPr>
          <w:rFonts w:hint="eastAsia" w:ascii="楷体" w:hAnsi="楷体" w:eastAsia="楷体" w:cs="楷体"/>
          <w:bCs/>
          <w:color w:val="auto"/>
          <w:sz w:val="24"/>
          <w:szCs w:val="24"/>
        </w:rPr>
        <w:t>个工作日内完成</w:t>
      </w:r>
      <w:r>
        <w:rPr>
          <w:rFonts w:hint="eastAsia" w:ascii="楷体" w:hAnsi="楷体" w:eastAsia="楷体" w:cs="楷体"/>
          <w:bCs/>
          <w:color w:val="auto"/>
          <w:sz w:val="24"/>
          <w:szCs w:val="24"/>
          <w:lang w:val="en-US" w:eastAsia="zh-CN"/>
        </w:rPr>
        <w:t>审查并出具意见</w:t>
      </w:r>
      <w:r>
        <w:rPr>
          <w:rFonts w:hint="eastAsia" w:ascii="楷体" w:hAnsi="楷体" w:eastAsia="楷体" w:cs="楷体"/>
          <w:bCs/>
          <w:color w:val="auto"/>
          <w:sz w:val="24"/>
          <w:szCs w:val="24"/>
        </w:rPr>
        <w:t>，具体以报价人所报时间为准。</w:t>
      </w:r>
    </w:p>
    <w:p w14:paraId="6874F9F2">
      <w:pPr>
        <w:spacing w:line="400" w:lineRule="exact"/>
        <w:ind w:firstLine="480" w:firstLineChars="200"/>
        <w:rPr>
          <w:color w:val="auto"/>
        </w:rPr>
      </w:pPr>
      <w:r>
        <w:rPr>
          <w:rFonts w:hint="eastAsia" w:ascii="楷体" w:hAnsi="楷体" w:eastAsia="楷体" w:cs="楷体"/>
          <w:bCs/>
          <w:color w:val="auto"/>
          <w:sz w:val="24"/>
          <w:szCs w:val="24"/>
        </w:rPr>
        <w:t>4、采购范围/采购内容：</w:t>
      </w:r>
      <w:r>
        <w:rPr>
          <w:rFonts w:hint="eastAsia" w:ascii="楷体" w:hAnsi="楷体" w:eastAsia="楷体" w:cs="楷体"/>
          <w:bCs/>
          <w:color w:val="auto"/>
          <w:sz w:val="24"/>
          <w:szCs w:val="24"/>
          <w:lang w:eastAsia="zh-CN"/>
        </w:rPr>
        <w:t>洋浦迎宾馆用户侧储能项目</w:t>
      </w:r>
      <w:r>
        <w:rPr>
          <w:rFonts w:hint="eastAsia" w:ascii="楷体" w:hAnsi="楷体" w:eastAsia="楷体" w:cs="楷体"/>
          <w:bCs/>
          <w:color w:val="auto"/>
          <w:sz w:val="24"/>
          <w:szCs w:val="24"/>
          <w:lang w:val="en-US" w:eastAsia="zh-CN"/>
        </w:rPr>
        <w:t>可行性研究报告</w:t>
      </w:r>
      <w:r>
        <w:rPr>
          <w:rFonts w:hint="eastAsia" w:ascii="楷体" w:hAnsi="楷体" w:eastAsia="楷体" w:cs="楷体"/>
          <w:bCs/>
          <w:color w:val="auto"/>
          <w:sz w:val="24"/>
          <w:szCs w:val="24"/>
        </w:rPr>
        <w:t>编制服务</w:t>
      </w:r>
    </w:p>
    <w:p w14:paraId="6AA5B1EC">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(三) 供应商参与报价条件</w:t>
      </w:r>
    </w:p>
    <w:p w14:paraId="71A791FC">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1、须为中华人民共和国国内的独立民事主体；经营范围涵盖本项目范围，具备有效的营业执照，具有独立承担民事责任能力，具有独立订立合同的权利； （提供营业执照副本加盖公章）</w:t>
      </w:r>
    </w:p>
    <w:p w14:paraId="633C9659">
      <w:pPr>
        <w:pStyle w:val="40"/>
        <w:spacing w:before="99" w:line="245" w:lineRule="auto"/>
        <w:ind w:firstLine="480" w:firstLineChars="200"/>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2、企业要求</w:t>
      </w:r>
      <w:r>
        <w:rPr>
          <w:rFonts w:hint="eastAsia" w:ascii="楷体" w:hAnsi="楷体" w:eastAsia="楷体" w:cs="楷体"/>
          <w:bCs/>
          <w:color w:val="auto"/>
          <w:sz w:val="24"/>
          <w:szCs w:val="24"/>
          <w:lang w:val="en-US" w:eastAsia="zh-CN"/>
        </w:rPr>
        <w:t>具备电力行业（新能源发电）专业乙级或以上资质</w:t>
      </w:r>
      <w:r>
        <w:rPr>
          <w:rFonts w:hint="eastAsia" w:ascii="楷体" w:hAnsi="楷体" w:eastAsia="楷体" w:cs="楷体"/>
          <w:bCs/>
          <w:color w:val="auto"/>
          <w:sz w:val="24"/>
          <w:szCs w:val="24"/>
        </w:rPr>
        <w:t>，同时具备国家有关部门、行业要求必须取得的相关认证及其他经营许可；在有关部门和行业的监督检查中没有不良记录；与公司没有不良合作记录；（提供相关证书复印件及加盖公章的承诺函）</w:t>
      </w:r>
    </w:p>
    <w:p w14:paraId="232535CC">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3、具备良好的商业信誉及履行合同所必需的设备和专业技术能力；（提供加盖公章的承诺函）</w:t>
      </w:r>
    </w:p>
    <w:p w14:paraId="46D2F9E9">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lang w:val="en-US" w:eastAsia="zh-CN"/>
        </w:rPr>
        <w:t>4</w:t>
      </w:r>
      <w:r>
        <w:rPr>
          <w:rFonts w:hint="eastAsia" w:ascii="楷体" w:hAnsi="楷体" w:eastAsia="楷体" w:cs="楷体"/>
          <w:bCs/>
          <w:color w:val="auto"/>
          <w:sz w:val="24"/>
          <w:szCs w:val="24"/>
        </w:rPr>
        <w:t>、</w:t>
      </w:r>
      <w:r>
        <w:rPr>
          <w:rFonts w:hint="eastAsia" w:ascii="楷体" w:hAnsi="楷体" w:eastAsia="楷体" w:cs="楷体"/>
          <w:bCs/>
          <w:color w:val="auto"/>
          <w:sz w:val="24"/>
          <w:szCs w:val="24"/>
          <w:lang w:val="en-US" w:eastAsia="zh-CN"/>
        </w:rPr>
        <w:t>财务状态良好，具有健全的财务会计制度，三年内具有良好的商业信誉，在经营活动中没有违反招标投标法法规、政策的记录</w:t>
      </w:r>
      <w:r>
        <w:rPr>
          <w:rFonts w:hint="eastAsia" w:ascii="楷体" w:hAnsi="楷体" w:eastAsia="楷体" w:cs="楷体"/>
          <w:bCs/>
          <w:color w:val="auto"/>
          <w:sz w:val="24"/>
          <w:szCs w:val="24"/>
        </w:rPr>
        <w:t>；（提供加盖公章的承诺函）</w:t>
      </w:r>
    </w:p>
    <w:p w14:paraId="658D9EA3">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lang w:val="en-US" w:eastAsia="zh-CN"/>
        </w:rPr>
        <w:t>5</w:t>
      </w:r>
      <w:r>
        <w:rPr>
          <w:rFonts w:hint="eastAsia" w:ascii="楷体" w:hAnsi="楷体" w:eastAsia="楷体" w:cs="楷体"/>
          <w:bCs/>
          <w:color w:val="auto"/>
          <w:sz w:val="24"/>
          <w:szCs w:val="24"/>
        </w:rPr>
        <w:t>、在经营活动中没有重大违法记录，未被工商行政管理机关在全国企业信用信息公示系统（http://www.gsxt.gov.cn）中列入严重违法失信企业名单；未被列入“信用中国”网站（http://www.creditchina.gov.cn/）失信被执行人名单。（提供查询截图加盖公章）</w:t>
      </w:r>
    </w:p>
    <w:p w14:paraId="050BB0A8">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lang w:val="en-US" w:eastAsia="zh-CN"/>
        </w:rPr>
        <w:t>6</w:t>
      </w:r>
      <w:r>
        <w:rPr>
          <w:rFonts w:hint="eastAsia" w:ascii="楷体" w:hAnsi="楷体" w:eastAsia="楷体" w:cs="楷体"/>
          <w:bCs/>
          <w:color w:val="auto"/>
          <w:sz w:val="24"/>
          <w:szCs w:val="24"/>
        </w:rPr>
        <w:t>、其他要求：</w:t>
      </w:r>
    </w:p>
    <w:p w14:paraId="0DDBAD1C">
      <w:pPr>
        <w:spacing w:line="400" w:lineRule="exact"/>
        <w:ind w:firstLine="480" w:firstLineChars="20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rPr>
        <w:t>（1）报价为一次性报价即固定价，结算不调整，</w:t>
      </w:r>
      <w:r>
        <w:rPr>
          <w:rFonts w:hint="eastAsia" w:ascii="楷体" w:hAnsi="楷体" w:eastAsia="楷体" w:cs="楷体"/>
          <w:bCs/>
          <w:color w:val="auto"/>
          <w:sz w:val="24"/>
          <w:szCs w:val="24"/>
          <w:lang w:val="en-US" w:eastAsia="zh-CN"/>
        </w:rPr>
        <w:t>本次服务费</w:t>
      </w:r>
      <w:r>
        <w:rPr>
          <w:rFonts w:hint="eastAsia" w:ascii="楷体" w:hAnsi="楷体" w:eastAsia="楷体" w:cs="楷体"/>
          <w:bCs/>
          <w:color w:val="auto"/>
          <w:sz w:val="24"/>
          <w:szCs w:val="24"/>
        </w:rPr>
        <w:t>包括</w:t>
      </w:r>
      <w:r>
        <w:rPr>
          <w:rFonts w:hint="eastAsia" w:ascii="楷体" w:hAnsi="楷体" w:eastAsia="楷体" w:cs="楷体"/>
          <w:bCs/>
          <w:color w:val="auto"/>
          <w:sz w:val="24"/>
          <w:szCs w:val="24"/>
          <w:lang w:val="en-US" w:eastAsia="zh-CN"/>
        </w:rPr>
        <w:t>可研编制费</w:t>
      </w:r>
      <w:r>
        <w:rPr>
          <w:rFonts w:hint="eastAsia" w:ascii="楷体" w:hAnsi="楷体" w:eastAsia="楷体" w:cs="楷体"/>
          <w:bCs/>
          <w:color w:val="auto"/>
          <w:sz w:val="24"/>
          <w:szCs w:val="24"/>
        </w:rPr>
        <w:t>、</w:t>
      </w:r>
      <w:r>
        <w:rPr>
          <w:rFonts w:hint="eastAsia" w:ascii="楷体" w:hAnsi="楷体" w:eastAsia="楷体" w:cs="楷体"/>
          <w:bCs/>
          <w:color w:val="auto"/>
          <w:sz w:val="24"/>
          <w:szCs w:val="24"/>
          <w:lang w:val="en-US" w:eastAsia="zh-CN"/>
        </w:rPr>
        <w:t>差旅费</w:t>
      </w:r>
      <w:r>
        <w:rPr>
          <w:rFonts w:hint="eastAsia" w:ascii="楷体" w:hAnsi="楷体" w:eastAsia="楷体" w:cs="楷体"/>
          <w:bCs/>
          <w:color w:val="auto"/>
          <w:sz w:val="24"/>
          <w:szCs w:val="24"/>
        </w:rPr>
        <w:t>、</w:t>
      </w:r>
      <w:r>
        <w:rPr>
          <w:rFonts w:hint="eastAsia" w:ascii="楷体" w:hAnsi="楷体" w:eastAsia="楷体" w:cs="楷体"/>
          <w:bCs/>
          <w:color w:val="auto"/>
          <w:sz w:val="24"/>
          <w:szCs w:val="24"/>
          <w:lang w:val="en-US" w:eastAsia="zh-CN"/>
        </w:rPr>
        <w:t>会议费</w:t>
      </w:r>
      <w:r>
        <w:rPr>
          <w:rFonts w:hint="eastAsia" w:ascii="楷体" w:hAnsi="楷体" w:eastAsia="楷体" w:cs="楷体"/>
          <w:bCs/>
          <w:color w:val="auto"/>
          <w:sz w:val="24"/>
          <w:szCs w:val="24"/>
        </w:rPr>
        <w:t>、</w:t>
      </w:r>
      <w:r>
        <w:rPr>
          <w:rFonts w:hint="eastAsia" w:ascii="楷体" w:hAnsi="楷体" w:eastAsia="楷体" w:cs="楷体"/>
          <w:bCs/>
          <w:color w:val="auto"/>
          <w:sz w:val="24"/>
          <w:szCs w:val="24"/>
          <w:lang w:val="en-US" w:eastAsia="zh-CN"/>
        </w:rPr>
        <w:t>专家评审费</w:t>
      </w:r>
      <w:r>
        <w:rPr>
          <w:rFonts w:hint="eastAsia" w:ascii="楷体" w:hAnsi="楷体" w:eastAsia="楷体" w:cs="楷体"/>
          <w:bCs/>
          <w:color w:val="auto"/>
          <w:sz w:val="24"/>
          <w:szCs w:val="24"/>
        </w:rPr>
        <w:t>、</w:t>
      </w:r>
      <w:r>
        <w:rPr>
          <w:rFonts w:hint="eastAsia" w:ascii="楷体" w:hAnsi="楷体" w:eastAsia="楷体" w:cs="楷体"/>
          <w:bCs/>
          <w:color w:val="auto"/>
          <w:sz w:val="24"/>
          <w:szCs w:val="24"/>
          <w:lang w:val="en-US" w:eastAsia="zh-CN"/>
        </w:rPr>
        <w:t>现场探勘费以及税金等一切费用。</w:t>
      </w:r>
    </w:p>
    <w:p w14:paraId="0C8FDB42">
      <w:pPr>
        <w:pStyle w:val="40"/>
        <w:spacing w:before="99" w:line="245" w:lineRule="auto"/>
        <w:ind w:firstLine="480" w:firstLineChars="200"/>
        <w:jc w:val="both"/>
        <w:rPr>
          <w:rFonts w:hint="eastAsia" w:ascii="楷体" w:hAnsi="楷体" w:eastAsia="楷体" w:cs="楷体"/>
          <w:bCs/>
          <w:color w:val="auto"/>
          <w:sz w:val="24"/>
          <w:szCs w:val="24"/>
        </w:rPr>
      </w:pPr>
      <w:r>
        <w:rPr>
          <w:rFonts w:hint="eastAsia" w:ascii="楷体" w:hAnsi="楷体" w:eastAsia="楷体" w:cs="楷体"/>
          <w:bCs/>
          <w:color w:val="auto"/>
          <w:sz w:val="24"/>
          <w:szCs w:val="24"/>
        </w:rPr>
        <w:t>（2）</w:t>
      </w:r>
      <w:r>
        <w:rPr>
          <w:rFonts w:hint="eastAsia" w:ascii="楷体" w:hAnsi="楷体" w:eastAsia="楷体" w:cs="楷体"/>
          <w:bCs/>
          <w:color w:val="auto"/>
          <w:sz w:val="24"/>
          <w:szCs w:val="24"/>
          <w:lang w:val="en-US" w:eastAsia="zh-CN"/>
        </w:rPr>
        <w:t>需具有储能项目设计能力，可行性研究报告达到初步设计深度，为项目投资提供决策依据和设计依据</w:t>
      </w:r>
      <w:r>
        <w:rPr>
          <w:rFonts w:hint="default" w:ascii="楷体" w:hAnsi="楷体" w:eastAsia="楷体" w:cs="楷体"/>
          <w:bCs/>
          <w:color w:val="auto"/>
          <w:sz w:val="24"/>
          <w:szCs w:val="24"/>
          <w:lang w:val="en-US" w:eastAsia="zh-CN"/>
        </w:rPr>
        <w:t>。</w:t>
      </w:r>
    </w:p>
    <w:p w14:paraId="7773969A">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（3）</w:t>
      </w:r>
      <w:r>
        <w:rPr>
          <w:rFonts w:hint="eastAsia" w:ascii="楷体" w:hAnsi="楷体" w:eastAsia="楷体" w:cs="楷体"/>
          <w:bCs/>
          <w:color w:val="auto"/>
          <w:sz w:val="24"/>
          <w:szCs w:val="24"/>
          <w:lang w:val="en-US" w:eastAsia="zh-CN"/>
        </w:rPr>
        <w:t>成交后提供可研编制并配合评审意见修改可研报告，以及为本项目后续工程图纸进行审查，并出具审查意见。</w:t>
      </w:r>
    </w:p>
    <w:p w14:paraId="28659AD7">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（4）</w:t>
      </w:r>
      <w:r>
        <w:rPr>
          <w:rFonts w:hint="eastAsia" w:ascii="楷体" w:hAnsi="楷体" w:eastAsia="楷体" w:cs="楷体"/>
          <w:bCs/>
          <w:color w:val="auto"/>
          <w:sz w:val="24"/>
          <w:szCs w:val="24"/>
          <w:lang w:val="en-US" w:eastAsia="zh-CN"/>
        </w:rPr>
        <w:t>设计单位应充分进行现场踏勘，了解项目实际情况。</w:t>
      </w:r>
    </w:p>
    <w:p w14:paraId="4ABF35E6">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lang w:val="en-US" w:eastAsia="zh-CN"/>
        </w:rPr>
        <w:t>7</w:t>
      </w:r>
      <w:r>
        <w:rPr>
          <w:rFonts w:hint="eastAsia" w:ascii="楷体" w:hAnsi="楷体" w:eastAsia="楷体" w:cs="楷体"/>
          <w:bCs/>
          <w:color w:val="auto"/>
          <w:sz w:val="24"/>
          <w:szCs w:val="24"/>
        </w:rPr>
        <w:t>、是否接受联合体：否</w:t>
      </w:r>
    </w:p>
    <w:p w14:paraId="248387C2">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(四)合同授予</w:t>
      </w:r>
    </w:p>
    <w:p w14:paraId="64FBD0BA">
      <w:pPr>
        <w:spacing w:line="400" w:lineRule="exact"/>
        <w:ind w:firstLine="480" w:firstLineChars="200"/>
        <w:rPr>
          <w:rFonts w:hint="eastAsia" w:ascii="楷体" w:hAnsi="楷体" w:eastAsia="楷体" w:cs="楷体"/>
          <w:bCs/>
          <w:color w:val="auto"/>
          <w:sz w:val="24"/>
          <w:szCs w:val="24"/>
          <w:lang w:val="ru-RU"/>
        </w:rPr>
      </w:pPr>
      <w:r>
        <w:rPr>
          <w:rFonts w:hint="eastAsia" w:ascii="楷体" w:hAnsi="楷体" w:eastAsia="楷体" w:cs="楷体"/>
          <w:bCs/>
          <w:color w:val="auto"/>
          <w:sz w:val="24"/>
          <w:szCs w:val="24"/>
        </w:rPr>
        <w:t>1．成交候选人履约能力核查：</w:t>
      </w:r>
      <w:r>
        <w:rPr>
          <w:rFonts w:hint="eastAsia" w:ascii="楷体" w:hAnsi="楷体" w:eastAsia="楷体" w:cs="楷体"/>
          <w:bCs/>
          <w:color w:val="auto"/>
          <w:sz w:val="24"/>
          <w:szCs w:val="24"/>
          <w:lang w:val="ru-RU"/>
        </w:rPr>
        <w:t>采购人可对成交候选</w:t>
      </w:r>
      <w:r>
        <w:rPr>
          <w:rFonts w:hint="eastAsia" w:ascii="楷体" w:hAnsi="楷体" w:eastAsia="楷体" w:cs="楷体"/>
          <w:bCs/>
          <w:color w:val="auto"/>
          <w:sz w:val="24"/>
          <w:szCs w:val="24"/>
        </w:rPr>
        <w:t>人</w:t>
      </w:r>
      <w:r>
        <w:rPr>
          <w:rFonts w:hint="eastAsia" w:ascii="楷体" w:hAnsi="楷体" w:eastAsia="楷体" w:cs="楷体"/>
          <w:bCs/>
          <w:color w:val="auto"/>
          <w:sz w:val="24"/>
          <w:szCs w:val="24"/>
          <w:lang w:val="ru-RU"/>
        </w:rPr>
        <w:t>的相关证明材料原件进行核验或组织现场考察，以确认成交候选</w:t>
      </w:r>
      <w:r>
        <w:rPr>
          <w:rFonts w:hint="eastAsia" w:ascii="楷体" w:hAnsi="楷体" w:eastAsia="楷体" w:cs="楷体"/>
          <w:bCs/>
          <w:color w:val="auto"/>
          <w:sz w:val="24"/>
          <w:szCs w:val="24"/>
        </w:rPr>
        <w:t>人</w:t>
      </w:r>
      <w:r>
        <w:rPr>
          <w:rFonts w:hint="eastAsia" w:ascii="楷体" w:hAnsi="楷体" w:eastAsia="楷体" w:cs="楷体"/>
          <w:bCs/>
          <w:color w:val="auto"/>
          <w:sz w:val="24"/>
          <w:szCs w:val="24"/>
          <w:lang w:val="ru-RU"/>
        </w:rPr>
        <w:t>的生产经营、财务等实际状况与响应文件是否一致及是否存在其他可能影响供应商履约能力的情况。核查结果将作为采购人选择确定成交</w:t>
      </w:r>
      <w:r>
        <w:rPr>
          <w:rFonts w:hint="eastAsia" w:ascii="楷体" w:hAnsi="楷体" w:eastAsia="楷体" w:cs="楷体"/>
          <w:bCs/>
          <w:color w:val="auto"/>
          <w:sz w:val="24"/>
          <w:szCs w:val="24"/>
        </w:rPr>
        <w:t>人</w:t>
      </w:r>
      <w:r>
        <w:rPr>
          <w:rFonts w:hint="eastAsia" w:ascii="楷体" w:hAnsi="楷体" w:eastAsia="楷体" w:cs="楷体"/>
          <w:bCs/>
          <w:color w:val="auto"/>
          <w:sz w:val="24"/>
          <w:szCs w:val="24"/>
          <w:lang w:val="ru-RU"/>
        </w:rPr>
        <w:t>的依据之一。</w:t>
      </w:r>
    </w:p>
    <w:p w14:paraId="2B8352B4">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2、发出成交通知书：公开询价结束后，向成交企业发放《成交通知书》，成交企业凭《成交通知书》按照报价书价格签定具体合同。</w:t>
      </w:r>
    </w:p>
    <w:p w14:paraId="680882C7">
      <w:pPr>
        <w:pStyle w:val="26"/>
        <w:spacing w:before="0" w:after="0"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3、签订合同：采购人和成交人应当在成交通知书规定的期限内，根据采购文件和成交人的响应文件订立书面合同。成交人无正当理由拒绝签订合同，在签订合同时向采购人提出附加条件，采购人取消其成交资格；给采购人造成的损失的，成交人还应当对损失部分予以赔偿。</w:t>
      </w:r>
    </w:p>
    <w:p w14:paraId="298DFFC2">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4、合同文本采用使用公开询价单位提供的合同文本。合同将以此报价文件为基础签订，凡参与报价的单位皆被视为认可文件中出现的所有条款，并被视为报价单位已把文件中出现的所有条款综合考虑在自己的报价中。成交单位在签订合同时无权调整条款，否则被视为成交单位放弃成交人资格，我司与备选单位签订合同。</w:t>
      </w:r>
    </w:p>
    <w:p w14:paraId="47998BCB">
      <w:pPr>
        <w:pStyle w:val="2"/>
        <w:spacing w:before="100" w:after="100" w:line="400" w:lineRule="exact"/>
        <w:rPr>
          <w:rFonts w:hint="eastAsia" w:ascii="楷体" w:hAnsi="楷体" w:eastAsia="楷体" w:cs="楷体"/>
          <w:color w:val="auto"/>
          <w:sz w:val="24"/>
          <w:szCs w:val="24"/>
        </w:rPr>
      </w:pPr>
      <w:bookmarkStart w:id="8" w:name="_Toc343692941"/>
      <w:bookmarkStart w:id="9" w:name="_Toc343700739"/>
      <w:bookmarkStart w:id="10" w:name="_Toc10605"/>
      <w:bookmarkStart w:id="11" w:name="_Toc32084"/>
      <w:r>
        <w:rPr>
          <w:rFonts w:hint="eastAsia" w:ascii="楷体" w:hAnsi="楷体" w:eastAsia="楷体" w:cs="楷体"/>
          <w:color w:val="auto"/>
          <w:sz w:val="24"/>
          <w:szCs w:val="24"/>
        </w:rPr>
        <w:t>二、</w:t>
      </w:r>
      <w:bookmarkEnd w:id="8"/>
      <w:bookmarkEnd w:id="9"/>
      <w:r>
        <w:rPr>
          <w:rFonts w:hint="eastAsia" w:ascii="楷体" w:hAnsi="楷体" w:eastAsia="楷体" w:cs="楷体"/>
          <w:color w:val="auto"/>
          <w:sz w:val="24"/>
          <w:szCs w:val="24"/>
        </w:rPr>
        <w:t>公开询价报价说明</w:t>
      </w:r>
      <w:bookmarkEnd w:id="10"/>
      <w:bookmarkEnd w:id="11"/>
    </w:p>
    <w:p w14:paraId="6894CE2C">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(一)公开询价文件</w:t>
      </w:r>
    </w:p>
    <w:p w14:paraId="2FB66F9D">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 xml:space="preserve">1、公开询价函 </w:t>
      </w:r>
    </w:p>
    <w:p w14:paraId="04E496A8">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 xml:space="preserve">2、报价人须知   </w:t>
      </w:r>
    </w:p>
    <w:p w14:paraId="50745C7C">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 xml:space="preserve">3、评审办法 </w:t>
      </w:r>
    </w:p>
    <w:p w14:paraId="1B0CD665">
      <w:pPr>
        <w:spacing w:line="400" w:lineRule="exact"/>
        <w:ind w:left="479" w:leftChars="228"/>
        <w:rPr>
          <w:rFonts w:hint="eastAsia" w:ascii="楷体" w:hAnsi="楷体" w:eastAsia="楷体" w:cs="楷体"/>
          <w:bCs/>
          <w:color w:val="auto"/>
          <w:sz w:val="24"/>
          <w:szCs w:val="24"/>
        </w:rPr>
      </w:pPr>
      <w:r>
        <w:rPr>
          <w:rFonts w:hint="eastAsia" w:ascii="楷体" w:hAnsi="楷体" w:eastAsia="楷体" w:cs="楷体"/>
          <w:bCs/>
          <w:color w:val="auto"/>
          <w:sz w:val="24"/>
          <w:szCs w:val="24"/>
        </w:rPr>
        <w:t>4、合同（格式）</w:t>
      </w:r>
      <w:r>
        <w:rPr>
          <w:rFonts w:hint="eastAsia" w:ascii="楷体" w:hAnsi="楷体" w:eastAsia="楷体" w:cs="楷体"/>
          <w:bCs/>
          <w:color w:val="auto"/>
          <w:sz w:val="24"/>
          <w:szCs w:val="24"/>
        </w:rPr>
        <w:br w:type="textWrapping"/>
      </w:r>
      <w:r>
        <w:rPr>
          <w:rFonts w:hint="eastAsia" w:ascii="楷体" w:hAnsi="楷体" w:eastAsia="楷体" w:cs="楷体"/>
          <w:bCs/>
          <w:color w:val="auto"/>
          <w:sz w:val="24"/>
          <w:szCs w:val="24"/>
        </w:rPr>
        <w:t>5、报价文件格式</w:t>
      </w:r>
    </w:p>
    <w:p w14:paraId="56898FE5">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（二）公开询价报价文件具体要求</w:t>
      </w:r>
    </w:p>
    <w:p w14:paraId="76622EA9">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1、本次公开询价的内容：</w:t>
      </w:r>
      <w:r>
        <w:rPr>
          <w:rFonts w:hint="eastAsia" w:ascii="楷体" w:hAnsi="楷体" w:eastAsia="楷体" w:cs="楷体"/>
          <w:bCs/>
          <w:color w:val="auto"/>
          <w:sz w:val="24"/>
          <w:szCs w:val="24"/>
          <w:u w:val="single"/>
          <w:lang w:eastAsia="zh-CN"/>
        </w:rPr>
        <w:t>洋浦迎宾馆用户侧储能项目</w:t>
      </w:r>
      <w:r>
        <w:rPr>
          <w:rFonts w:hint="eastAsia" w:ascii="楷体" w:hAnsi="楷体" w:eastAsia="楷体" w:cs="楷体"/>
          <w:bCs/>
          <w:color w:val="auto"/>
          <w:sz w:val="24"/>
          <w:szCs w:val="24"/>
          <w:u w:val="single"/>
          <w:lang w:val="en-US" w:eastAsia="zh-CN"/>
        </w:rPr>
        <w:t>可行性研究报告</w:t>
      </w:r>
      <w:r>
        <w:rPr>
          <w:rFonts w:hint="eastAsia" w:ascii="楷体" w:hAnsi="楷体" w:eastAsia="楷体" w:cs="楷体"/>
          <w:bCs/>
          <w:color w:val="auto"/>
          <w:sz w:val="24"/>
          <w:szCs w:val="24"/>
          <w:u w:val="single"/>
        </w:rPr>
        <w:t>编制服务</w:t>
      </w:r>
      <w:r>
        <w:rPr>
          <w:rFonts w:hint="eastAsia" w:ascii="楷体" w:hAnsi="楷体" w:eastAsia="楷体" w:cs="楷体"/>
          <w:bCs/>
          <w:color w:val="auto"/>
          <w:sz w:val="24"/>
          <w:szCs w:val="24"/>
        </w:rPr>
        <w:t>。</w:t>
      </w:r>
    </w:p>
    <w:p w14:paraId="2FA50DDE">
      <w:pPr>
        <w:spacing w:line="400" w:lineRule="exact"/>
        <w:ind w:firstLine="480" w:firstLineChars="200"/>
        <w:rPr>
          <w:rFonts w:hint="eastAsia" w:ascii="楷体" w:hAnsi="楷体" w:eastAsia="楷体" w:cs="楷体"/>
          <w:color w:val="auto"/>
          <w:sz w:val="24"/>
          <w:szCs w:val="24"/>
        </w:rPr>
      </w:pPr>
      <w:r>
        <w:rPr>
          <w:rFonts w:hint="eastAsia" w:ascii="楷体" w:hAnsi="楷体" w:eastAsia="楷体" w:cs="楷体"/>
          <w:bCs/>
          <w:color w:val="auto"/>
          <w:sz w:val="24"/>
          <w:szCs w:val="24"/>
        </w:rPr>
        <w:t>2、承包方式：报价为一次性报价即固定价，结算不调整，</w:t>
      </w:r>
      <w:r>
        <w:rPr>
          <w:rFonts w:hint="eastAsia" w:ascii="楷体" w:hAnsi="楷体" w:eastAsia="楷体" w:cs="楷体"/>
          <w:bCs/>
          <w:color w:val="auto"/>
          <w:sz w:val="24"/>
          <w:szCs w:val="24"/>
          <w:lang w:val="en-US" w:eastAsia="zh-CN"/>
        </w:rPr>
        <w:t>本次服务费</w:t>
      </w:r>
      <w:r>
        <w:rPr>
          <w:rFonts w:hint="eastAsia" w:ascii="楷体" w:hAnsi="楷体" w:eastAsia="楷体" w:cs="楷体"/>
          <w:bCs/>
          <w:color w:val="auto"/>
          <w:sz w:val="24"/>
          <w:szCs w:val="24"/>
        </w:rPr>
        <w:t>包括</w:t>
      </w:r>
      <w:r>
        <w:rPr>
          <w:rFonts w:hint="eastAsia" w:ascii="楷体" w:hAnsi="楷体" w:eastAsia="楷体" w:cs="楷体"/>
          <w:bCs/>
          <w:color w:val="auto"/>
          <w:sz w:val="24"/>
          <w:szCs w:val="24"/>
          <w:lang w:val="en-US" w:eastAsia="zh-CN"/>
        </w:rPr>
        <w:t>可研编制费</w:t>
      </w:r>
      <w:r>
        <w:rPr>
          <w:rFonts w:hint="eastAsia" w:ascii="楷体" w:hAnsi="楷体" w:eastAsia="楷体" w:cs="楷体"/>
          <w:bCs/>
          <w:color w:val="auto"/>
          <w:sz w:val="24"/>
          <w:szCs w:val="24"/>
        </w:rPr>
        <w:t>、</w:t>
      </w:r>
      <w:r>
        <w:rPr>
          <w:rFonts w:hint="eastAsia" w:ascii="楷体" w:hAnsi="楷体" w:eastAsia="楷体" w:cs="楷体"/>
          <w:bCs/>
          <w:color w:val="auto"/>
          <w:sz w:val="24"/>
          <w:szCs w:val="24"/>
          <w:lang w:val="en-US" w:eastAsia="zh-CN"/>
        </w:rPr>
        <w:t>差旅费</w:t>
      </w:r>
      <w:r>
        <w:rPr>
          <w:rFonts w:hint="eastAsia" w:ascii="楷体" w:hAnsi="楷体" w:eastAsia="楷体" w:cs="楷体"/>
          <w:bCs/>
          <w:color w:val="auto"/>
          <w:sz w:val="24"/>
          <w:szCs w:val="24"/>
        </w:rPr>
        <w:t>、</w:t>
      </w:r>
      <w:r>
        <w:rPr>
          <w:rFonts w:hint="eastAsia" w:ascii="楷体" w:hAnsi="楷体" w:eastAsia="楷体" w:cs="楷体"/>
          <w:bCs/>
          <w:color w:val="auto"/>
          <w:sz w:val="24"/>
          <w:szCs w:val="24"/>
          <w:lang w:val="en-US" w:eastAsia="zh-CN"/>
        </w:rPr>
        <w:t>会议费</w:t>
      </w:r>
      <w:r>
        <w:rPr>
          <w:rFonts w:hint="eastAsia" w:ascii="楷体" w:hAnsi="楷体" w:eastAsia="楷体" w:cs="楷体"/>
          <w:bCs/>
          <w:color w:val="auto"/>
          <w:sz w:val="24"/>
          <w:szCs w:val="24"/>
        </w:rPr>
        <w:t>、</w:t>
      </w:r>
      <w:r>
        <w:rPr>
          <w:rFonts w:hint="eastAsia" w:ascii="楷体" w:hAnsi="楷体" w:eastAsia="楷体" w:cs="楷体"/>
          <w:bCs/>
          <w:color w:val="auto"/>
          <w:sz w:val="24"/>
          <w:szCs w:val="24"/>
          <w:lang w:val="en-US" w:eastAsia="zh-CN"/>
        </w:rPr>
        <w:t>专家评审费</w:t>
      </w:r>
      <w:r>
        <w:rPr>
          <w:rFonts w:hint="eastAsia" w:ascii="楷体" w:hAnsi="楷体" w:eastAsia="楷体" w:cs="楷体"/>
          <w:bCs/>
          <w:color w:val="auto"/>
          <w:sz w:val="24"/>
          <w:szCs w:val="24"/>
        </w:rPr>
        <w:t>、</w:t>
      </w:r>
      <w:r>
        <w:rPr>
          <w:rFonts w:hint="eastAsia" w:ascii="楷体" w:hAnsi="楷体" w:eastAsia="楷体" w:cs="楷体"/>
          <w:bCs/>
          <w:color w:val="auto"/>
          <w:sz w:val="24"/>
          <w:szCs w:val="24"/>
          <w:lang w:val="en-US" w:eastAsia="zh-CN"/>
        </w:rPr>
        <w:t>现场探勘费以及税金等一切费用。</w:t>
      </w:r>
    </w:p>
    <w:p w14:paraId="6A11DCE1">
      <w:pPr>
        <w:spacing w:line="400" w:lineRule="exact"/>
        <w:ind w:firstLine="480" w:firstLineChars="200"/>
        <w:rPr>
          <w:rFonts w:hint="eastAsia" w:ascii="楷体" w:hAnsi="楷体" w:eastAsia="楷体" w:cs="楷体"/>
          <w:bCs/>
          <w:color w:val="auto"/>
          <w:sz w:val="24"/>
          <w:szCs w:val="24"/>
        </w:rPr>
      </w:pPr>
      <w:bookmarkStart w:id="12" w:name="_Toc343700740"/>
      <w:bookmarkStart w:id="13" w:name="_Toc343692942"/>
      <w:r>
        <w:rPr>
          <w:rFonts w:hint="eastAsia" w:ascii="楷体" w:hAnsi="楷体" w:eastAsia="楷体" w:cs="楷体"/>
          <w:bCs/>
          <w:color w:val="auto"/>
          <w:sz w:val="24"/>
          <w:szCs w:val="24"/>
        </w:rPr>
        <w:t>3、提供服务均应符合标准等国家标准、行业标准、地方标准及甲方提出的要求；</w:t>
      </w:r>
    </w:p>
    <w:p w14:paraId="4A539EC5">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4、对未成交的单位不做经济方面或其他方面的赔偿，也不做解释，谨对合作表示衷心的感谢。</w:t>
      </w:r>
    </w:p>
    <w:p w14:paraId="04FECF26">
      <w:pPr>
        <w:pStyle w:val="2"/>
        <w:spacing w:before="100" w:after="100" w:line="400" w:lineRule="exact"/>
        <w:rPr>
          <w:rFonts w:hint="eastAsia" w:ascii="楷体" w:hAnsi="楷体" w:eastAsia="楷体" w:cs="楷体"/>
          <w:color w:val="auto"/>
          <w:sz w:val="24"/>
          <w:szCs w:val="24"/>
        </w:rPr>
      </w:pPr>
      <w:bookmarkStart w:id="14" w:name="_Toc14638"/>
      <w:bookmarkStart w:id="15" w:name="_Toc9555"/>
      <w:r>
        <w:rPr>
          <w:rFonts w:hint="eastAsia" w:ascii="楷体" w:hAnsi="楷体" w:eastAsia="楷体" w:cs="楷体"/>
          <w:color w:val="auto"/>
          <w:sz w:val="24"/>
          <w:szCs w:val="24"/>
        </w:rPr>
        <w:t>三、报价文件的编制和递交</w:t>
      </w:r>
      <w:bookmarkEnd w:id="12"/>
      <w:bookmarkEnd w:id="13"/>
      <w:bookmarkEnd w:id="14"/>
      <w:bookmarkEnd w:id="15"/>
    </w:p>
    <w:p w14:paraId="3E5DA7A4">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（一）材料构成：按照第四章报价文件（格式）要求提供，内容包括：</w:t>
      </w:r>
    </w:p>
    <w:p w14:paraId="29F51951">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（1）报价表；</w:t>
      </w:r>
    </w:p>
    <w:p w14:paraId="3AD910FE">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（2）报价函；</w:t>
      </w:r>
    </w:p>
    <w:p w14:paraId="346DAE93">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（3）法定代表人身份证明；</w:t>
      </w:r>
    </w:p>
    <w:p w14:paraId="6ECF101F">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（4）授权委托书；</w:t>
      </w:r>
    </w:p>
    <w:p w14:paraId="18AA637C">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（5）无重大违法记录声明函</w:t>
      </w:r>
    </w:p>
    <w:p w14:paraId="5BB74704">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（6）其他资格评审资料；</w:t>
      </w:r>
    </w:p>
    <w:p w14:paraId="212C3C6C">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（7）商务技术部分资料。</w:t>
      </w:r>
    </w:p>
    <w:p w14:paraId="3916B827">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报价人在评审过程中作出的符合采购文件要求的澄清、说明和补正，构成响应文件的组成部分。</w:t>
      </w:r>
    </w:p>
    <w:p w14:paraId="37A37D7F">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（二）填写要求:按照报价文件格式要求签字、盖章。报价文件中的企业的名称应准确无误。</w:t>
      </w:r>
    </w:p>
    <w:p w14:paraId="16123600">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（三）材料递交时间和地点按</w:t>
      </w:r>
      <w:r>
        <w:rPr>
          <w:rFonts w:hint="eastAsia" w:ascii="楷体" w:hAnsi="楷体" w:eastAsia="楷体" w:cs="楷体"/>
          <w:bCs/>
          <w:color w:val="auto"/>
          <w:sz w:val="24"/>
          <w:szCs w:val="24"/>
          <w:lang w:eastAsia="zh-CN"/>
        </w:rPr>
        <w:t>海南洋浦陆海能源发展有限公司</w:t>
      </w:r>
      <w:r>
        <w:rPr>
          <w:rFonts w:hint="eastAsia" w:ascii="楷体" w:hAnsi="楷体" w:eastAsia="楷体" w:cs="楷体"/>
          <w:bCs/>
          <w:color w:val="auto"/>
          <w:sz w:val="24"/>
          <w:szCs w:val="24"/>
        </w:rPr>
        <w:t>要求执行，因不可抗力原因，可酌情延长材料递交截止时间。</w:t>
      </w:r>
    </w:p>
    <w:p w14:paraId="53AE4EB4">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（四）材料其它要求</w:t>
      </w:r>
    </w:p>
    <w:p w14:paraId="610E2BC7">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1、提供的资料必须真实、完整、合法。</w:t>
      </w:r>
    </w:p>
    <w:p w14:paraId="77B249B5">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2、采购人设有最高限价的，报价人的报价不得超过最高限价。最高限价在《公开询价报价函》中载明。</w:t>
      </w:r>
    </w:p>
    <w:p w14:paraId="0DC28B7C">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3、提供虚假资质证明文件的，一经发现立即取消其资格，并交由相关部门依法处理。</w:t>
      </w:r>
    </w:p>
    <w:p w14:paraId="7B6DC8B8">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4、报价材料应逐页加盖企业公章，扫描件应清晰、完整。</w:t>
      </w:r>
    </w:p>
    <w:p w14:paraId="3DBA2F48">
      <w:pPr>
        <w:pStyle w:val="2"/>
        <w:spacing w:before="0" w:line="400" w:lineRule="exact"/>
        <w:rPr>
          <w:rFonts w:hint="eastAsia" w:ascii="楷体" w:hAnsi="楷体" w:eastAsia="楷体" w:cs="楷体"/>
          <w:color w:val="auto"/>
          <w:sz w:val="24"/>
          <w:szCs w:val="24"/>
        </w:rPr>
      </w:pPr>
      <w:bookmarkStart w:id="16" w:name="_Toc23199"/>
      <w:bookmarkStart w:id="17" w:name="_Toc20984"/>
      <w:bookmarkStart w:id="18" w:name="_Toc343700741"/>
      <w:bookmarkStart w:id="19" w:name="_Toc343692943"/>
      <w:r>
        <w:rPr>
          <w:rFonts w:hint="eastAsia" w:ascii="楷体" w:hAnsi="楷体" w:eastAsia="楷体" w:cs="楷体"/>
          <w:color w:val="auto"/>
          <w:sz w:val="24"/>
          <w:szCs w:val="24"/>
        </w:rPr>
        <w:t>四、报价</w:t>
      </w:r>
      <w:bookmarkEnd w:id="16"/>
      <w:bookmarkEnd w:id="17"/>
      <w:bookmarkEnd w:id="18"/>
      <w:bookmarkEnd w:id="19"/>
    </w:p>
    <w:p w14:paraId="2AB4C17D">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（一）报价使用货币为人民币，报价保留到小数点后两位。</w:t>
      </w:r>
    </w:p>
    <w:p w14:paraId="736F9433">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（1）大写金额与小写金额不一致的，以大写金额为准；</w:t>
      </w:r>
    </w:p>
    <w:p w14:paraId="1A9566C9">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（2）总价金额与单价金额不一致的，以单价金额为准，但单价金额小数点有明显错误的除外；</w:t>
      </w:r>
    </w:p>
    <w:p w14:paraId="7094E30A">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（3）报价表合计报价与分项报价的合计不一致的，以各分项报价的合价累计数为准；</w:t>
      </w:r>
    </w:p>
    <w:p w14:paraId="1AD6F56A">
      <w:pPr>
        <w:spacing w:line="40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（4）如果分项报价中存在缺漏项，且缺漏项内容不属于实质性偏差的，则视为缺漏项内容的价格已包含在其他分项报价之中。</w:t>
      </w:r>
    </w:p>
    <w:p w14:paraId="4391A3DF">
      <w:pPr>
        <w:tabs>
          <w:tab w:val="left" w:pos="709"/>
        </w:tabs>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（二）报价是指供货商供应的落地价。</w:t>
      </w:r>
    </w:p>
    <w:p w14:paraId="3B111CBB">
      <w:pPr>
        <w:pStyle w:val="40"/>
        <w:keepNext w:val="0"/>
        <w:keepLines w:val="0"/>
        <w:pageBreakBefore w:val="0"/>
        <w:widowControl/>
        <w:kinsoku w:val="0"/>
        <w:wordWrap/>
        <w:overflowPunct/>
        <w:topLinePunct w:val="0"/>
        <w:autoSpaceDE w:val="0"/>
        <w:autoSpaceDN w:val="0"/>
        <w:bidi w:val="0"/>
        <w:adjustRightInd w:val="0"/>
        <w:snapToGrid w:val="0"/>
        <w:spacing w:before="0" w:line="400" w:lineRule="exact"/>
        <w:textAlignment w:val="baseline"/>
        <w:rPr>
          <w:rFonts w:hint="eastAsia" w:ascii="楷体" w:hAnsi="楷体" w:eastAsia="楷体" w:cs="楷体"/>
          <w:color w:val="auto"/>
          <w:sz w:val="24"/>
          <w:szCs w:val="24"/>
        </w:rPr>
      </w:pPr>
      <w:r>
        <w:rPr>
          <w:rFonts w:hint="eastAsia" w:ascii="楷体" w:hAnsi="楷体" w:eastAsia="楷体" w:cs="楷体"/>
          <w:bCs/>
          <w:color w:val="auto"/>
          <w:sz w:val="24"/>
          <w:szCs w:val="24"/>
        </w:rPr>
        <w:t>（三）报价截至时间：以《公开询价报价函》</w:t>
      </w:r>
      <w:r>
        <w:rPr>
          <w:rFonts w:hint="eastAsia" w:ascii="楷体" w:hAnsi="楷体" w:eastAsia="楷体" w:cs="楷体"/>
          <w:color w:val="auto"/>
          <w:sz w:val="24"/>
          <w:szCs w:val="24"/>
        </w:rPr>
        <w:t>公布的时间为准。</w:t>
      </w:r>
      <w:bookmarkStart w:id="20" w:name="_Toc343700748"/>
      <w:bookmarkStart w:id="21" w:name="_Toc343692950"/>
      <w:r>
        <w:rPr>
          <w:rFonts w:hint="eastAsia" w:ascii="楷体" w:hAnsi="楷体" w:eastAsia="楷体" w:cs="楷体"/>
          <w:color w:val="auto"/>
          <w:sz w:val="24"/>
          <w:szCs w:val="24"/>
        </w:rPr>
        <w:br w:type="textWrapping"/>
      </w:r>
      <w:r>
        <w:rPr>
          <w:rFonts w:hint="eastAsia" w:ascii="楷体" w:hAnsi="楷体" w:eastAsia="楷体" w:cs="楷体"/>
          <w:color w:val="auto"/>
          <w:sz w:val="24"/>
          <w:szCs w:val="24"/>
        </w:rPr>
        <w:t>（四）报价评审方法：</w:t>
      </w:r>
      <w:r>
        <w:rPr>
          <w:rFonts w:hint="eastAsia" w:ascii="楷体" w:hAnsi="楷体" w:eastAsia="楷体" w:cs="楷体"/>
          <w:color w:val="auto"/>
          <w:sz w:val="24"/>
          <w:szCs w:val="24"/>
          <w:lang w:val="ru-RU"/>
        </w:rPr>
        <w:t>综合评估法。</w:t>
      </w:r>
      <w:r>
        <w:rPr>
          <w:rFonts w:hint="eastAsia" w:ascii="楷体" w:hAnsi="楷体" w:eastAsia="楷体" w:cs="楷体"/>
          <w:color w:val="auto"/>
          <w:sz w:val="24"/>
          <w:szCs w:val="24"/>
        </w:rPr>
        <w:br w:type="textWrapping"/>
      </w:r>
      <w:r>
        <w:rPr>
          <w:rFonts w:hint="eastAsia" w:ascii="楷体" w:hAnsi="楷体" w:eastAsia="楷体" w:cs="楷体"/>
          <w:color w:val="auto"/>
          <w:sz w:val="24"/>
          <w:szCs w:val="24"/>
        </w:rPr>
        <w:t>（五）结算方式：</w:t>
      </w:r>
    </w:p>
    <w:p w14:paraId="19DB1183">
      <w:pPr>
        <w:pStyle w:val="40"/>
        <w:keepNext w:val="0"/>
        <w:keepLines w:val="0"/>
        <w:pageBreakBefore w:val="0"/>
        <w:widowControl/>
        <w:kinsoku w:val="0"/>
        <w:wordWrap/>
        <w:overflowPunct/>
        <w:topLinePunct w:val="0"/>
        <w:autoSpaceDE w:val="0"/>
        <w:autoSpaceDN w:val="0"/>
        <w:bidi w:val="0"/>
        <w:adjustRightInd w:val="0"/>
        <w:snapToGrid w:val="0"/>
        <w:spacing w:before="85" w:line="280" w:lineRule="exact"/>
        <w:ind w:left="11" w:firstLine="480" w:firstLineChars="200"/>
        <w:textAlignment w:val="baseline"/>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1.合同签订完成，并由成交单位开具等额合法有效的增值税专用发票后15个工作日内我司向成交单位支付20%的预付款；</w:t>
      </w:r>
    </w:p>
    <w:p w14:paraId="13F419D3">
      <w:pPr>
        <w:pStyle w:val="40"/>
        <w:keepNext w:val="0"/>
        <w:keepLines w:val="0"/>
        <w:pageBreakBefore w:val="0"/>
        <w:widowControl/>
        <w:kinsoku w:val="0"/>
        <w:wordWrap/>
        <w:overflowPunct/>
        <w:topLinePunct w:val="0"/>
        <w:autoSpaceDE w:val="0"/>
        <w:autoSpaceDN w:val="0"/>
        <w:bidi w:val="0"/>
        <w:adjustRightInd w:val="0"/>
        <w:snapToGrid w:val="0"/>
        <w:spacing w:before="85" w:line="280" w:lineRule="exact"/>
        <w:ind w:left="11" w:firstLine="480" w:firstLineChars="200"/>
        <w:textAlignment w:val="baseline"/>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2.成交单位完成项目可行性研究报告编制，并通过可研评审后，向我司提供等额合法有效的增值税专用发票、盖章版可行性研究报告，我司在15个工作日内向成交单位支付合同总价的60%进度款；</w:t>
      </w:r>
    </w:p>
    <w:p w14:paraId="4844CF5E">
      <w:pPr>
        <w:pStyle w:val="40"/>
        <w:keepNext w:val="0"/>
        <w:keepLines w:val="0"/>
        <w:pageBreakBefore w:val="0"/>
        <w:widowControl/>
        <w:kinsoku w:val="0"/>
        <w:wordWrap/>
        <w:overflowPunct/>
        <w:topLinePunct w:val="0"/>
        <w:autoSpaceDE w:val="0"/>
        <w:autoSpaceDN w:val="0"/>
        <w:bidi w:val="0"/>
        <w:adjustRightInd w:val="0"/>
        <w:snapToGrid w:val="0"/>
        <w:spacing w:before="85" w:line="280" w:lineRule="exact"/>
        <w:ind w:left="11" w:firstLine="480" w:firstLineChars="200"/>
        <w:textAlignment w:val="baseline"/>
        <w:rPr>
          <w:rFonts w:hint="eastAsia" w:ascii="楷体" w:hAnsi="楷体" w:eastAsia="楷体" w:cs="楷体"/>
          <w:color w:val="auto"/>
          <w:sz w:val="24"/>
          <w:szCs w:val="24"/>
        </w:rPr>
        <w:sectPr>
          <w:headerReference r:id="rId10" w:type="default"/>
          <w:pgSz w:w="11906" w:h="16838"/>
          <w:pgMar w:top="1440" w:right="1800" w:bottom="1247" w:left="1800" w:header="851" w:footer="992" w:gutter="0"/>
          <w:cols w:space="0" w:num="1"/>
          <w:docGrid w:type="lines" w:linePitch="312" w:charSpace="0"/>
        </w:sectPr>
      </w:pPr>
      <w:r>
        <w:rPr>
          <w:rFonts w:hint="default" w:ascii="楷体" w:hAnsi="楷体" w:eastAsia="楷体" w:cs="楷体"/>
          <w:color w:val="auto"/>
          <w:sz w:val="24"/>
          <w:szCs w:val="24"/>
          <w:lang w:val="en-US" w:eastAsia="zh-CN"/>
        </w:rPr>
        <w:t>3.</w:t>
      </w:r>
      <w:r>
        <w:rPr>
          <w:rFonts w:hint="eastAsia" w:ascii="楷体" w:hAnsi="楷体" w:eastAsia="楷体" w:cs="楷体"/>
          <w:color w:val="auto"/>
          <w:sz w:val="24"/>
          <w:szCs w:val="24"/>
          <w:lang w:val="en-US" w:eastAsia="zh-CN"/>
        </w:rPr>
        <w:t>成交单位配合完成项目施工图纸审查，出具审查意见，并向我司提供等额合法有效的增值税专用发票后，由我司向成交单位支付剩余20%的尾款。</w:t>
      </w:r>
      <w:r>
        <w:rPr>
          <w:rFonts w:hint="eastAsia" w:ascii="楷体" w:hAnsi="楷体" w:eastAsia="楷体" w:cs="楷体"/>
          <w:color w:val="auto"/>
          <w:sz w:val="24"/>
          <w:szCs w:val="24"/>
        </w:rPr>
        <w:br w:type="textWrapping"/>
      </w:r>
    </w:p>
    <w:p w14:paraId="08EF49EE">
      <w:pPr>
        <w:pStyle w:val="29"/>
        <w:numPr>
          <w:ilvl w:val="0"/>
          <w:numId w:val="2"/>
        </w:numPr>
        <w:rPr>
          <w:rFonts w:hint="eastAsia" w:ascii="楷体" w:hAnsi="楷体" w:eastAsia="楷体" w:cs="楷体"/>
          <w:b/>
          <w:bCs w:val="0"/>
          <w:color w:val="auto"/>
        </w:rPr>
      </w:pPr>
      <w:bookmarkStart w:id="22" w:name="_Toc7720"/>
      <w:r>
        <w:rPr>
          <w:rFonts w:hint="eastAsia" w:ascii="楷体" w:hAnsi="楷体" w:eastAsia="楷体" w:cs="楷体"/>
          <w:b/>
          <w:bCs w:val="0"/>
          <w:color w:val="auto"/>
        </w:rPr>
        <w:t>评审办法</w:t>
      </w:r>
      <w:bookmarkEnd w:id="22"/>
    </w:p>
    <w:p w14:paraId="5EF3F165">
      <w:pPr>
        <w:pStyle w:val="2"/>
        <w:spacing w:before="100" w:after="100" w:line="400" w:lineRule="exact"/>
        <w:rPr>
          <w:rFonts w:hint="eastAsia" w:ascii="楷体" w:hAnsi="楷体" w:eastAsia="楷体" w:cs="楷体"/>
          <w:color w:val="auto"/>
          <w:sz w:val="24"/>
          <w:szCs w:val="24"/>
        </w:rPr>
      </w:pPr>
      <w:bookmarkStart w:id="23" w:name="_Toc16990"/>
      <w:bookmarkStart w:id="24" w:name="_Toc27107"/>
      <w:bookmarkStart w:id="25" w:name="_Toc8239"/>
      <w:r>
        <w:rPr>
          <w:rFonts w:hint="eastAsia" w:ascii="楷体" w:hAnsi="楷体" w:eastAsia="楷体" w:cs="楷体"/>
          <w:color w:val="auto"/>
          <w:sz w:val="24"/>
          <w:szCs w:val="24"/>
        </w:rPr>
        <w:t>1.评审方法</w:t>
      </w:r>
      <w:bookmarkEnd w:id="23"/>
      <w:bookmarkEnd w:id="24"/>
      <w:bookmarkEnd w:id="25"/>
    </w:p>
    <w:p w14:paraId="4F80A9E6">
      <w:pPr>
        <w:spacing w:line="400" w:lineRule="exact"/>
        <w:ind w:firstLine="480" w:firstLineChars="200"/>
        <w:rPr>
          <w:rFonts w:hint="eastAsia" w:ascii="楷体" w:hAnsi="楷体" w:eastAsia="楷体" w:cs="楷体"/>
          <w:color w:val="auto"/>
          <w:sz w:val="24"/>
          <w:szCs w:val="24"/>
          <w:lang w:val="ru-RU"/>
        </w:rPr>
      </w:pPr>
      <w:r>
        <w:rPr>
          <w:rFonts w:hint="eastAsia" w:ascii="楷体" w:hAnsi="楷体" w:eastAsia="楷体" w:cs="楷体"/>
          <w:color w:val="auto"/>
          <w:sz w:val="24"/>
          <w:szCs w:val="24"/>
          <w:lang w:val="ru-RU"/>
        </w:rPr>
        <w:t>本次评审采用综合评估法，</w:t>
      </w:r>
      <w:r>
        <w:rPr>
          <w:rFonts w:hint="eastAsia" w:ascii="楷体" w:hAnsi="楷体" w:eastAsia="楷体" w:cs="楷体"/>
          <w:color w:val="auto"/>
          <w:sz w:val="24"/>
          <w:szCs w:val="24"/>
        </w:rPr>
        <w:t>评审小组推荐一至三名成交候选人。</w:t>
      </w:r>
    </w:p>
    <w:p w14:paraId="1602C036">
      <w:pPr>
        <w:pStyle w:val="2"/>
        <w:spacing w:before="100" w:after="100" w:line="400" w:lineRule="exact"/>
        <w:rPr>
          <w:rFonts w:hint="eastAsia" w:ascii="楷体" w:hAnsi="楷体" w:eastAsia="楷体" w:cs="楷体"/>
          <w:color w:val="auto"/>
          <w:sz w:val="24"/>
          <w:szCs w:val="24"/>
        </w:rPr>
      </w:pPr>
      <w:bookmarkStart w:id="26" w:name="_Toc23040"/>
      <w:bookmarkStart w:id="27" w:name="_Toc12621"/>
      <w:bookmarkStart w:id="28" w:name="_Toc7977"/>
      <w:r>
        <w:rPr>
          <w:rFonts w:hint="eastAsia" w:ascii="楷体" w:hAnsi="楷体" w:eastAsia="楷体" w:cs="楷体"/>
          <w:color w:val="auto"/>
          <w:sz w:val="24"/>
          <w:szCs w:val="24"/>
        </w:rPr>
        <w:t>2.初步评审标准</w:t>
      </w:r>
      <w:bookmarkEnd w:id="26"/>
      <w:bookmarkEnd w:id="27"/>
      <w:bookmarkEnd w:id="28"/>
    </w:p>
    <w:p w14:paraId="0294A16D">
      <w:pPr>
        <w:pStyle w:val="42"/>
        <w:spacing w:line="400" w:lineRule="exact"/>
        <w:ind w:firstLine="480" w:firstLineChars="200"/>
        <w:rPr>
          <w:rFonts w:hint="eastAsia" w:ascii="楷体" w:hAnsi="楷体" w:eastAsia="楷体" w:cs="楷体"/>
          <w:bCs w:val="0"/>
          <w:color w:val="auto"/>
          <w:sz w:val="24"/>
          <w:szCs w:val="24"/>
        </w:rPr>
      </w:pPr>
      <w:r>
        <w:rPr>
          <w:rFonts w:hint="eastAsia" w:ascii="楷体" w:hAnsi="楷体" w:eastAsia="楷体" w:cs="楷体"/>
          <w:bCs w:val="0"/>
          <w:color w:val="auto"/>
          <w:sz w:val="24"/>
          <w:szCs w:val="24"/>
        </w:rPr>
        <w:t xml:space="preserve">（1）供应商资格条件满足采购文件要求（以第二章供应商须知的供应商参与报价条件为准）； </w:t>
      </w:r>
    </w:p>
    <w:p w14:paraId="1B0182DB">
      <w:pPr>
        <w:pStyle w:val="42"/>
        <w:spacing w:line="400" w:lineRule="exact"/>
        <w:ind w:firstLine="480" w:firstLineChars="200"/>
        <w:rPr>
          <w:rFonts w:hint="eastAsia" w:ascii="楷体" w:hAnsi="楷体" w:eastAsia="楷体" w:cs="楷体"/>
          <w:bCs w:val="0"/>
          <w:color w:val="auto"/>
          <w:sz w:val="24"/>
          <w:szCs w:val="24"/>
        </w:rPr>
      </w:pPr>
      <w:r>
        <w:rPr>
          <w:rFonts w:hint="eastAsia" w:ascii="楷体" w:hAnsi="楷体" w:eastAsia="楷体" w:cs="楷体"/>
          <w:bCs w:val="0"/>
          <w:color w:val="auto"/>
          <w:sz w:val="24"/>
          <w:szCs w:val="24"/>
        </w:rPr>
        <w:t>（2）响应文件未附有采购人不能接受的条件；</w:t>
      </w:r>
    </w:p>
    <w:p w14:paraId="2405BE24">
      <w:pPr>
        <w:pStyle w:val="42"/>
        <w:spacing w:line="400" w:lineRule="exact"/>
        <w:ind w:firstLine="480" w:firstLineChars="200"/>
        <w:rPr>
          <w:rFonts w:hint="eastAsia" w:ascii="楷体" w:hAnsi="楷体" w:eastAsia="楷体" w:cs="楷体"/>
          <w:bCs w:val="0"/>
          <w:color w:val="auto"/>
          <w:sz w:val="24"/>
          <w:szCs w:val="24"/>
        </w:rPr>
      </w:pPr>
      <w:r>
        <w:rPr>
          <w:rFonts w:hint="eastAsia" w:ascii="楷体" w:hAnsi="楷体" w:eastAsia="楷体" w:cs="楷体"/>
          <w:bCs w:val="0"/>
          <w:color w:val="auto"/>
          <w:sz w:val="24"/>
          <w:szCs w:val="24"/>
        </w:rPr>
        <w:t>（3）供应商报价未超出最高限价；</w:t>
      </w:r>
    </w:p>
    <w:p w14:paraId="0B5C2680">
      <w:pPr>
        <w:pStyle w:val="42"/>
        <w:spacing w:line="400" w:lineRule="exact"/>
        <w:ind w:firstLine="480" w:firstLineChars="200"/>
        <w:rPr>
          <w:rFonts w:hint="eastAsia" w:ascii="楷体" w:hAnsi="楷体" w:eastAsia="楷体" w:cs="楷体"/>
          <w:bCs w:val="0"/>
          <w:color w:val="auto"/>
          <w:sz w:val="24"/>
          <w:szCs w:val="24"/>
        </w:rPr>
      </w:pPr>
      <w:r>
        <w:rPr>
          <w:rFonts w:hint="eastAsia" w:ascii="楷体" w:hAnsi="楷体" w:eastAsia="楷体" w:cs="楷体"/>
          <w:bCs w:val="0"/>
          <w:color w:val="auto"/>
          <w:sz w:val="24"/>
          <w:szCs w:val="24"/>
        </w:rPr>
        <w:t>（4）无其它否决条款。</w:t>
      </w:r>
    </w:p>
    <w:p w14:paraId="693DB18C">
      <w:pPr>
        <w:pStyle w:val="2"/>
        <w:spacing w:before="100" w:after="100" w:line="400" w:lineRule="exact"/>
        <w:rPr>
          <w:rFonts w:hint="eastAsia" w:ascii="楷体" w:hAnsi="楷体" w:eastAsia="楷体" w:cs="楷体"/>
          <w:color w:val="auto"/>
          <w:sz w:val="24"/>
          <w:szCs w:val="24"/>
        </w:rPr>
      </w:pPr>
      <w:bookmarkStart w:id="29" w:name="_Toc4651"/>
      <w:bookmarkStart w:id="30" w:name="_Toc27437"/>
      <w:bookmarkStart w:id="31" w:name="_Toc9006"/>
      <w:r>
        <w:rPr>
          <w:rFonts w:hint="eastAsia" w:ascii="楷体" w:hAnsi="楷体" w:eastAsia="楷体" w:cs="楷体"/>
          <w:color w:val="auto"/>
          <w:sz w:val="24"/>
          <w:szCs w:val="24"/>
        </w:rPr>
        <w:t>3.详细评审标准</w:t>
      </w:r>
      <w:bookmarkEnd w:id="29"/>
      <w:bookmarkEnd w:id="30"/>
      <w:bookmarkEnd w:id="31"/>
    </w:p>
    <w:p w14:paraId="7ED138C6">
      <w:pPr>
        <w:pStyle w:val="42"/>
        <w:spacing w:line="400" w:lineRule="exact"/>
        <w:rPr>
          <w:rFonts w:hint="eastAsia" w:ascii="楷体" w:hAnsi="楷体" w:eastAsia="楷体" w:cs="楷体"/>
          <w:bCs w:val="0"/>
          <w:color w:val="auto"/>
          <w:sz w:val="24"/>
          <w:szCs w:val="24"/>
          <w:lang w:val="ru-RU"/>
        </w:rPr>
      </w:pPr>
      <w:r>
        <w:rPr>
          <w:rFonts w:hint="eastAsia" w:ascii="楷体" w:hAnsi="楷体" w:eastAsia="楷体" w:cs="楷体"/>
          <w:bCs w:val="0"/>
          <w:color w:val="auto"/>
          <w:sz w:val="24"/>
          <w:szCs w:val="24"/>
        </w:rPr>
        <w:t>3</w:t>
      </w:r>
      <w:r>
        <w:rPr>
          <w:rFonts w:hint="eastAsia" w:ascii="楷体" w:hAnsi="楷体" w:eastAsia="楷体" w:cs="楷体"/>
          <w:bCs w:val="0"/>
          <w:color w:val="auto"/>
          <w:sz w:val="24"/>
          <w:szCs w:val="24"/>
          <w:lang w:val="ru-RU"/>
        </w:rPr>
        <w:t>.1 分值构成</w:t>
      </w:r>
    </w:p>
    <w:p w14:paraId="3B7BF9DE">
      <w:pPr>
        <w:pStyle w:val="42"/>
        <w:spacing w:line="400" w:lineRule="exact"/>
        <w:ind w:firstLine="480" w:firstLineChars="200"/>
        <w:rPr>
          <w:rFonts w:hint="eastAsia" w:ascii="楷体" w:hAnsi="楷体" w:eastAsia="楷体" w:cs="楷体"/>
          <w:bCs w:val="0"/>
          <w:color w:val="auto"/>
          <w:sz w:val="24"/>
          <w:szCs w:val="24"/>
          <w:lang w:val="ru-RU"/>
        </w:rPr>
      </w:pPr>
      <w:r>
        <w:rPr>
          <w:rFonts w:hint="eastAsia" w:ascii="楷体" w:hAnsi="楷体" w:eastAsia="楷体" w:cs="楷体"/>
          <w:bCs w:val="0"/>
          <w:color w:val="auto"/>
          <w:sz w:val="24"/>
          <w:szCs w:val="24"/>
          <w:lang w:val="ru-RU"/>
        </w:rPr>
        <w:t>（1）商务技术部分：</w:t>
      </w:r>
      <w:r>
        <w:rPr>
          <w:rFonts w:hint="eastAsia" w:ascii="楷体" w:hAnsi="楷体" w:eastAsia="楷体" w:cs="楷体"/>
          <w:bCs w:val="0"/>
          <w:color w:val="auto"/>
          <w:sz w:val="24"/>
          <w:szCs w:val="24"/>
        </w:rPr>
        <w:t>70分</w:t>
      </w:r>
      <w:r>
        <w:rPr>
          <w:rFonts w:hint="eastAsia" w:ascii="楷体" w:hAnsi="楷体" w:eastAsia="楷体" w:cs="楷体"/>
          <w:bCs w:val="0"/>
          <w:color w:val="auto"/>
          <w:sz w:val="24"/>
          <w:szCs w:val="24"/>
          <w:lang w:val="ru-RU"/>
        </w:rPr>
        <w:t xml:space="preserve"> </w:t>
      </w:r>
    </w:p>
    <w:p w14:paraId="1E2D8FE5">
      <w:pPr>
        <w:pStyle w:val="42"/>
        <w:spacing w:line="400" w:lineRule="exact"/>
        <w:ind w:firstLine="480" w:firstLineChars="200"/>
        <w:rPr>
          <w:rFonts w:hint="eastAsia" w:ascii="楷体" w:hAnsi="楷体" w:eastAsia="楷体" w:cs="楷体"/>
          <w:bCs w:val="0"/>
          <w:color w:val="auto"/>
          <w:sz w:val="24"/>
          <w:szCs w:val="24"/>
          <w:lang w:val="ru-RU"/>
        </w:rPr>
      </w:pPr>
      <w:r>
        <w:rPr>
          <w:rFonts w:hint="eastAsia" w:ascii="楷体" w:hAnsi="楷体" w:eastAsia="楷体" w:cs="楷体"/>
          <w:bCs w:val="0"/>
          <w:color w:val="auto"/>
          <w:sz w:val="24"/>
          <w:szCs w:val="24"/>
          <w:lang w:val="ru-RU"/>
        </w:rPr>
        <w:t>（2）价格部分：</w:t>
      </w:r>
      <w:r>
        <w:rPr>
          <w:rFonts w:hint="eastAsia" w:ascii="楷体" w:hAnsi="楷体" w:eastAsia="楷体" w:cs="楷体"/>
          <w:bCs w:val="0"/>
          <w:color w:val="auto"/>
          <w:sz w:val="24"/>
          <w:szCs w:val="24"/>
        </w:rPr>
        <w:t>30分</w:t>
      </w:r>
      <w:r>
        <w:rPr>
          <w:rFonts w:hint="eastAsia" w:ascii="楷体" w:hAnsi="楷体" w:eastAsia="楷体" w:cs="楷体"/>
          <w:bCs w:val="0"/>
          <w:color w:val="auto"/>
          <w:sz w:val="24"/>
          <w:szCs w:val="24"/>
          <w:lang w:val="ru-RU"/>
        </w:rPr>
        <w:t xml:space="preserve"> </w:t>
      </w:r>
    </w:p>
    <w:p w14:paraId="54F5FA4A">
      <w:pPr>
        <w:spacing w:line="400" w:lineRule="exact"/>
        <w:outlineLvl w:val="2"/>
        <w:rPr>
          <w:rFonts w:hint="eastAsia" w:ascii="楷体" w:hAnsi="楷体" w:eastAsia="楷体" w:cs="楷体"/>
          <w:color w:val="auto"/>
          <w:sz w:val="24"/>
          <w:szCs w:val="24"/>
          <w:lang w:val="ru-RU"/>
        </w:rPr>
      </w:pPr>
      <w:r>
        <w:rPr>
          <w:rFonts w:hint="eastAsia" w:ascii="楷体" w:hAnsi="楷体" w:eastAsia="楷体" w:cs="楷体"/>
          <w:color w:val="auto"/>
          <w:sz w:val="24"/>
          <w:szCs w:val="24"/>
        </w:rPr>
        <w:t>3</w:t>
      </w:r>
      <w:r>
        <w:rPr>
          <w:rFonts w:hint="eastAsia" w:ascii="楷体" w:hAnsi="楷体" w:eastAsia="楷体" w:cs="楷体"/>
          <w:color w:val="auto"/>
          <w:sz w:val="24"/>
          <w:szCs w:val="24"/>
          <w:lang w:val="ru-RU"/>
        </w:rPr>
        <w:t>.2 评分标准</w:t>
      </w:r>
    </w:p>
    <w:p w14:paraId="7B8FC843">
      <w:pPr>
        <w:spacing w:line="400" w:lineRule="exact"/>
        <w:ind w:firstLine="480" w:firstLineChars="200"/>
        <w:rPr>
          <w:rFonts w:hint="eastAsia" w:ascii="楷体" w:hAnsi="楷体" w:eastAsia="楷体" w:cs="楷体"/>
          <w:color w:val="auto"/>
          <w:sz w:val="24"/>
          <w:szCs w:val="24"/>
          <w:lang w:val="ru-RU"/>
        </w:rPr>
      </w:pPr>
      <w:r>
        <w:rPr>
          <w:rFonts w:hint="eastAsia" w:ascii="楷体" w:hAnsi="楷体" w:eastAsia="楷体" w:cs="楷体"/>
          <w:color w:val="auto"/>
          <w:sz w:val="24"/>
          <w:szCs w:val="24"/>
          <w:lang w:val="ru-RU"/>
        </w:rPr>
        <w:t>（1）商务技术评分标准：见商务技术评分表；</w:t>
      </w:r>
    </w:p>
    <w:p w14:paraId="5602BB4F">
      <w:pPr>
        <w:spacing w:line="400" w:lineRule="exact"/>
        <w:ind w:firstLine="480" w:firstLineChars="200"/>
        <w:rPr>
          <w:rFonts w:hint="eastAsia" w:ascii="楷体" w:hAnsi="楷体" w:eastAsia="楷体" w:cs="楷体"/>
          <w:color w:val="auto"/>
          <w:sz w:val="24"/>
          <w:szCs w:val="24"/>
          <w:lang w:val="ru-RU"/>
        </w:rPr>
      </w:pPr>
      <w:r>
        <w:rPr>
          <w:rFonts w:hint="eastAsia" w:ascii="楷体" w:hAnsi="楷体" w:eastAsia="楷体" w:cs="楷体"/>
          <w:color w:val="auto"/>
          <w:sz w:val="24"/>
          <w:szCs w:val="24"/>
          <w:lang w:val="ru-RU"/>
        </w:rPr>
        <w:t>（2）报价评分标准：见价格评分办法。</w:t>
      </w:r>
    </w:p>
    <w:p w14:paraId="41D8A109">
      <w:pPr>
        <w:spacing w:line="400" w:lineRule="exact"/>
        <w:outlineLvl w:val="2"/>
        <w:rPr>
          <w:rFonts w:hint="eastAsia" w:ascii="楷体" w:hAnsi="楷体" w:eastAsia="楷体" w:cs="楷体"/>
          <w:color w:val="auto"/>
          <w:sz w:val="24"/>
          <w:szCs w:val="24"/>
          <w:lang w:val="ru-RU"/>
        </w:rPr>
      </w:pPr>
      <w:r>
        <w:rPr>
          <w:rFonts w:hint="eastAsia" w:ascii="楷体" w:hAnsi="楷体" w:eastAsia="楷体" w:cs="楷体"/>
          <w:color w:val="auto"/>
          <w:sz w:val="24"/>
          <w:szCs w:val="24"/>
        </w:rPr>
        <w:t>3</w:t>
      </w:r>
      <w:r>
        <w:rPr>
          <w:rFonts w:hint="eastAsia" w:ascii="楷体" w:hAnsi="楷体" w:eastAsia="楷体" w:cs="楷体"/>
          <w:color w:val="auto"/>
          <w:sz w:val="24"/>
          <w:szCs w:val="24"/>
          <w:lang w:val="ru-RU"/>
        </w:rPr>
        <w:t>.3 评分</w:t>
      </w:r>
    </w:p>
    <w:p w14:paraId="2EA6C038">
      <w:pPr>
        <w:spacing w:line="400" w:lineRule="exact"/>
        <w:ind w:firstLine="480" w:firstLineChars="200"/>
        <w:rPr>
          <w:rFonts w:hint="eastAsia" w:ascii="楷体" w:hAnsi="楷体" w:eastAsia="楷体" w:cs="楷体"/>
          <w:color w:val="auto"/>
          <w:sz w:val="24"/>
          <w:szCs w:val="24"/>
          <w:lang w:val="ru-RU"/>
        </w:rPr>
      </w:pPr>
      <w:r>
        <w:rPr>
          <w:rFonts w:hint="eastAsia" w:ascii="楷体" w:hAnsi="楷体" w:eastAsia="楷体" w:cs="楷体"/>
          <w:color w:val="auto"/>
          <w:sz w:val="24"/>
          <w:szCs w:val="24"/>
          <w:lang w:val="ru-RU"/>
        </w:rPr>
        <w:t>评审小组成员按照评分标准独立对</w:t>
      </w:r>
      <w:r>
        <w:rPr>
          <w:rFonts w:hint="eastAsia" w:ascii="楷体" w:hAnsi="楷体" w:eastAsia="楷体" w:cs="楷体"/>
          <w:color w:val="auto"/>
          <w:sz w:val="24"/>
          <w:szCs w:val="24"/>
        </w:rPr>
        <w:t>报价人你</w:t>
      </w:r>
      <w:r>
        <w:rPr>
          <w:rFonts w:hint="eastAsia" w:ascii="楷体" w:hAnsi="楷体" w:eastAsia="楷体" w:cs="楷体"/>
          <w:color w:val="auto"/>
          <w:sz w:val="24"/>
          <w:szCs w:val="24"/>
          <w:lang w:val="ru-RU"/>
        </w:rPr>
        <w:t>的商务和技术等因素进行评分。报价评分由评审小组统一计算。各项得分汇总后为该成员给</w:t>
      </w:r>
      <w:r>
        <w:rPr>
          <w:rFonts w:hint="eastAsia" w:ascii="楷体" w:hAnsi="楷体" w:eastAsia="楷体" w:cs="楷体"/>
          <w:color w:val="auto"/>
          <w:sz w:val="24"/>
          <w:szCs w:val="24"/>
        </w:rPr>
        <w:t>报价人</w:t>
      </w:r>
      <w:r>
        <w:rPr>
          <w:rFonts w:hint="eastAsia" w:ascii="楷体" w:hAnsi="楷体" w:eastAsia="楷体" w:cs="楷体"/>
          <w:color w:val="auto"/>
          <w:sz w:val="24"/>
          <w:szCs w:val="24"/>
          <w:lang w:val="ru-RU"/>
        </w:rPr>
        <w:t>的评分总分。评分分值计算保留小数点后两位，小数点后第三位“四舍五入”。</w:t>
      </w:r>
    </w:p>
    <w:p w14:paraId="4E28F80A">
      <w:pPr>
        <w:spacing w:line="400" w:lineRule="exact"/>
        <w:outlineLvl w:val="2"/>
        <w:rPr>
          <w:rFonts w:hint="eastAsia" w:ascii="楷体" w:hAnsi="楷体" w:eastAsia="楷体" w:cs="楷体"/>
          <w:color w:val="auto"/>
          <w:sz w:val="24"/>
          <w:szCs w:val="24"/>
          <w:lang w:val="ru-RU"/>
        </w:rPr>
      </w:pPr>
      <w:r>
        <w:rPr>
          <w:rFonts w:hint="eastAsia" w:ascii="楷体" w:hAnsi="楷体" w:eastAsia="楷体" w:cs="楷体"/>
          <w:color w:val="auto"/>
          <w:sz w:val="24"/>
          <w:szCs w:val="24"/>
        </w:rPr>
        <w:t>3</w:t>
      </w:r>
      <w:r>
        <w:rPr>
          <w:rFonts w:hint="eastAsia" w:ascii="楷体" w:hAnsi="楷体" w:eastAsia="楷体" w:cs="楷体"/>
          <w:color w:val="auto"/>
          <w:sz w:val="24"/>
          <w:szCs w:val="24"/>
          <w:lang w:val="ru-RU"/>
        </w:rPr>
        <w:t>.4 汇总</w:t>
      </w:r>
    </w:p>
    <w:p w14:paraId="14C06D5B">
      <w:pPr>
        <w:spacing w:line="400" w:lineRule="exact"/>
        <w:ind w:firstLine="480" w:firstLineChars="200"/>
        <w:rPr>
          <w:rFonts w:hint="eastAsia" w:ascii="楷体" w:hAnsi="楷体" w:eastAsia="楷体" w:cs="楷体"/>
          <w:color w:val="auto"/>
          <w:sz w:val="24"/>
          <w:szCs w:val="24"/>
          <w:lang w:val="ru-RU"/>
        </w:rPr>
      </w:pPr>
      <w:r>
        <w:rPr>
          <w:rFonts w:hint="eastAsia" w:ascii="楷体" w:hAnsi="楷体" w:eastAsia="楷体" w:cs="楷体"/>
          <w:color w:val="auto"/>
          <w:sz w:val="24"/>
          <w:szCs w:val="24"/>
          <w:lang w:val="ru-RU"/>
        </w:rPr>
        <w:t>评审小组汇总每个成员对</w:t>
      </w:r>
      <w:r>
        <w:rPr>
          <w:rFonts w:hint="eastAsia" w:ascii="楷体" w:hAnsi="楷体" w:eastAsia="楷体" w:cs="楷体"/>
          <w:color w:val="auto"/>
          <w:sz w:val="24"/>
          <w:szCs w:val="24"/>
        </w:rPr>
        <w:t>报价人</w:t>
      </w:r>
      <w:r>
        <w:rPr>
          <w:rFonts w:hint="eastAsia" w:ascii="楷体" w:hAnsi="楷体" w:eastAsia="楷体" w:cs="楷体"/>
          <w:color w:val="auto"/>
          <w:sz w:val="24"/>
          <w:szCs w:val="24"/>
          <w:lang w:val="ru-RU"/>
        </w:rPr>
        <w:t>的评分总分，每个</w:t>
      </w:r>
      <w:r>
        <w:rPr>
          <w:rFonts w:hint="eastAsia" w:ascii="楷体" w:hAnsi="楷体" w:eastAsia="楷体" w:cs="楷体"/>
          <w:color w:val="auto"/>
          <w:sz w:val="24"/>
          <w:szCs w:val="24"/>
        </w:rPr>
        <w:t>报价人</w:t>
      </w:r>
      <w:r>
        <w:rPr>
          <w:rFonts w:hint="eastAsia" w:ascii="楷体" w:hAnsi="楷体" w:eastAsia="楷体" w:cs="楷体"/>
          <w:color w:val="auto"/>
          <w:sz w:val="24"/>
          <w:szCs w:val="24"/>
          <w:lang w:val="ru-RU"/>
        </w:rPr>
        <w:t>的评分总分的算术平均值为</w:t>
      </w:r>
      <w:r>
        <w:rPr>
          <w:rFonts w:hint="eastAsia" w:ascii="楷体" w:hAnsi="楷体" w:eastAsia="楷体" w:cs="楷体"/>
          <w:color w:val="auto"/>
          <w:sz w:val="24"/>
          <w:szCs w:val="24"/>
        </w:rPr>
        <w:t>报价人</w:t>
      </w:r>
      <w:r>
        <w:rPr>
          <w:rFonts w:hint="eastAsia" w:ascii="楷体" w:hAnsi="楷体" w:eastAsia="楷体" w:cs="楷体"/>
          <w:color w:val="auto"/>
          <w:sz w:val="24"/>
          <w:szCs w:val="24"/>
          <w:lang w:val="ru-RU"/>
        </w:rPr>
        <w:t>最终得分。</w:t>
      </w:r>
    </w:p>
    <w:p w14:paraId="352FE7BE">
      <w:pPr>
        <w:spacing w:line="400" w:lineRule="exact"/>
        <w:outlineLvl w:val="2"/>
        <w:rPr>
          <w:rFonts w:hint="eastAsia" w:ascii="楷体" w:hAnsi="楷体" w:eastAsia="楷体" w:cs="楷体"/>
          <w:color w:val="auto"/>
          <w:sz w:val="24"/>
          <w:szCs w:val="24"/>
          <w:lang w:val="ru-RU"/>
        </w:rPr>
      </w:pPr>
      <w:r>
        <w:rPr>
          <w:rFonts w:hint="eastAsia" w:ascii="楷体" w:hAnsi="楷体" w:eastAsia="楷体" w:cs="楷体"/>
          <w:color w:val="auto"/>
          <w:sz w:val="24"/>
          <w:szCs w:val="24"/>
        </w:rPr>
        <w:t>3</w:t>
      </w:r>
      <w:r>
        <w:rPr>
          <w:rFonts w:hint="eastAsia" w:ascii="楷体" w:hAnsi="楷体" w:eastAsia="楷体" w:cs="楷体"/>
          <w:color w:val="auto"/>
          <w:sz w:val="24"/>
          <w:szCs w:val="24"/>
          <w:lang w:val="ru-RU"/>
        </w:rPr>
        <w:t>.5 排序</w:t>
      </w:r>
    </w:p>
    <w:p w14:paraId="09DA39E5">
      <w:pPr>
        <w:spacing w:line="400" w:lineRule="exact"/>
        <w:ind w:firstLine="480" w:firstLineChars="200"/>
        <w:rPr>
          <w:rFonts w:hint="eastAsia" w:ascii="宋体" w:hAnsi="宋体"/>
          <w:b/>
          <w:bCs/>
          <w:color w:val="auto"/>
          <w:sz w:val="44"/>
          <w:szCs w:val="44"/>
        </w:rPr>
      </w:pPr>
      <w:r>
        <w:rPr>
          <w:rFonts w:hint="eastAsia" w:ascii="楷体" w:hAnsi="楷体" w:eastAsia="楷体" w:cs="楷体"/>
          <w:color w:val="auto"/>
          <w:sz w:val="24"/>
          <w:szCs w:val="24"/>
        </w:rPr>
        <w:t>评审小组对供应商最终得分进行比较后，按照供应商最终得分由高到低的优先顺序对供应商排序。最终得分相等时，以评审价格低的优先；评审价格也相等的，按照评审办法前附表的规定确定供应商优先顺序。</w:t>
      </w:r>
    </w:p>
    <w:p w14:paraId="13EBBFD0">
      <w:pPr>
        <w:spacing w:line="40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附件：1.商务技术评分表</w:t>
      </w:r>
    </w:p>
    <w:p w14:paraId="562A5C30">
      <w:pPr>
        <w:spacing w:line="400" w:lineRule="exact"/>
        <w:ind w:firstLine="1200" w:firstLineChars="500"/>
        <w:rPr>
          <w:rFonts w:hint="eastAsia" w:ascii="楷体" w:hAnsi="楷体" w:eastAsia="楷体" w:cs="楷体"/>
          <w:color w:val="auto"/>
          <w:sz w:val="24"/>
          <w:szCs w:val="24"/>
        </w:rPr>
      </w:pPr>
      <w:r>
        <w:rPr>
          <w:rFonts w:hint="eastAsia" w:ascii="楷体" w:hAnsi="楷体" w:eastAsia="楷体" w:cs="楷体"/>
          <w:color w:val="auto"/>
          <w:sz w:val="24"/>
          <w:szCs w:val="24"/>
        </w:rPr>
        <w:t>2.价格评分办法</w:t>
      </w:r>
    </w:p>
    <w:p w14:paraId="321F7E2C">
      <w:pPr>
        <w:rPr>
          <w:rFonts w:hint="eastAsia" w:ascii="宋体" w:hAnsi="宋体"/>
          <w:b/>
          <w:bCs/>
          <w:color w:val="auto"/>
          <w:sz w:val="44"/>
          <w:szCs w:val="44"/>
        </w:rPr>
      </w:pPr>
    </w:p>
    <w:p w14:paraId="7D382490">
      <w:pPr>
        <w:rPr>
          <w:rFonts w:hint="eastAsia" w:ascii="楷体" w:hAnsi="楷体" w:eastAsia="楷体" w:cs="楷体"/>
          <w:color w:val="auto"/>
          <w:sz w:val="24"/>
          <w:szCs w:val="24"/>
        </w:rPr>
      </w:pPr>
      <w:r>
        <w:rPr>
          <w:rFonts w:hint="eastAsia" w:ascii="楷体" w:hAnsi="楷体" w:eastAsia="楷体" w:cs="楷体"/>
          <w:color w:val="auto"/>
          <w:sz w:val="24"/>
          <w:szCs w:val="24"/>
        </w:rPr>
        <w:br w:type="page"/>
      </w:r>
    </w:p>
    <w:p w14:paraId="6DDFAC8F">
      <w:pPr>
        <w:spacing w:line="400" w:lineRule="exact"/>
        <w:rPr>
          <w:rFonts w:hint="eastAsia" w:ascii="楷体" w:hAnsi="楷体" w:eastAsia="楷体" w:cs="楷体"/>
          <w:color w:val="auto"/>
          <w:sz w:val="24"/>
          <w:szCs w:val="24"/>
        </w:rPr>
      </w:pPr>
      <w:r>
        <w:rPr>
          <w:rFonts w:hint="eastAsia" w:ascii="楷体" w:hAnsi="楷体" w:eastAsia="楷体" w:cs="楷体"/>
          <w:color w:val="auto"/>
          <w:sz w:val="24"/>
          <w:szCs w:val="24"/>
        </w:rPr>
        <w:t>附件1：商务技术评分表</w:t>
      </w:r>
    </w:p>
    <w:p w14:paraId="38EBDAB8">
      <w:pPr>
        <w:spacing w:line="400" w:lineRule="exact"/>
        <w:ind w:firstLine="480" w:firstLineChars="200"/>
        <w:jc w:val="center"/>
        <w:rPr>
          <w:rFonts w:hint="eastAsia" w:ascii="楷体" w:hAnsi="楷体" w:eastAsia="楷体" w:cs="楷体"/>
          <w:color w:val="auto"/>
          <w:sz w:val="24"/>
          <w:szCs w:val="24"/>
        </w:rPr>
      </w:pPr>
      <w:r>
        <w:rPr>
          <w:rFonts w:hint="eastAsia" w:ascii="楷体" w:hAnsi="楷体" w:eastAsia="楷体" w:cs="楷体"/>
          <w:color w:val="auto"/>
          <w:sz w:val="24"/>
          <w:szCs w:val="24"/>
        </w:rPr>
        <w:t>商务技术评分表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98"/>
        <w:gridCol w:w="1619"/>
        <w:gridCol w:w="4869"/>
        <w:gridCol w:w="1533"/>
      </w:tblGrid>
      <w:tr w14:paraId="21943F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4" w:hRule="atLeast"/>
          <w:tblHeader/>
          <w:jc w:val="center"/>
        </w:trPr>
        <w:tc>
          <w:tcPr>
            <w:tcW w:w="292" w:type="pct"/>
            <w:tcBorders>
              <w:bottom w:val="single" w:color="auto" w:sz="6" w:space="0"/>
            </w:tcBorders>
            <w:vAlign w:val="center"/>
          </w:tcPr>
          <w:p w14:paraId="4B32868E">
            <w:pPr>
              <w:spacing w:line="4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序号</w:t>
            </w:r>
          </w:p>
        </w:tc>
        <w:tc>
          <w:tcPr>
            <w:tcW w:w="950" w:type="pct"/>
            <w:tcBorders>
              <w:bottom w:val="single" w:color="auto" w:sz="6" w:space="0"/>
            </w:tcBorders>
            <w:vAlign w:val="center"/>
          </w:tcPr>
          <w:p w14:paraId="6C60DAE3">
            <w:pPr>
              <w:spacing w:line="4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评分项目</w:t>
            </w:r>
          </w:p>
        </w:tc>
        <w:tc>
          <w:tcPr>
            <w:tcW w:w="2857" w:type="pct"/>
            <w:tcBorders>
              <w:bottom w:val="single" w:color="auto" w:sz="6" w:space="0"/>
            </w:tcBorders>
            <w:vAlign w:val="center"/>
          </w:tcPr>
          <w:p w14:paraId="5ABA267B">
            <w:pPr>
              <w:spacing w:line="4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评分标准</w:t>
            </w:r>
          </w:p>
        </w:tc>
        <w:tc>
          <w:tcPr>
            <w:tcW w:w="899" w:type="pct"/>
            <w:tcBorders>
              <w:bottom w:val="single" w:color="auto" w:sz="6" w:space="0"/>
            </w:tcBorders>
            <w:vAlign w:val="center"/>
          </w:tcPr>
          <w:p w14:paraId="32632BCE">
            <w:pPr>
              <w:spacing w:line="4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分值</w:t>
            </w:r>
          </w:p>
        </w:tc>
      </w:tr>
      <w:tr w14:paraId="207047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92" w:type="pct"/>
            <w:vAlign w:val="center"/>
          </w:tcPr>
          <w:p w14:paraId="4F59A308">
            <w:pPr>
              <w:spacing w:line="4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1</w:t>
            </w:r>
          </w:p>
        </w:tc>
        <w:tc>
          <w:tcPr>
            <w:tcW w:w="950" w:type="pct"/>
            <w:vAlign w:val="center"/>
          </w:tcPr>
          <w:p w14:paraId="3CD055CE">
            <w:pPr>
              <w:spacing w:line="4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业绩</w:t>
            </w:r>
          </w:p>
        </w:tc>
        <w:tc>
          <w:tcPr>
            <w:tcW w:w="2857" w:type="pct"/>
            <w:vAlign w:val="center"/>
          </w:tcPr>
          <w:p w14:paraId="1F7888E5">
            <w:pPr>
              <w:spacing w:line="400" w:lineRule="exact"/>
              <w:rPr>
                <w:rFonts w:hint="eastAsia" w:ascii="楷体" w:hAnsi="楷体" w:eastAsia="楷体" w:cs="楷体"/>
                <w:color w:val="auto"/>
                <w:sz w:val="24"/>
                <w:szCs w:val="24"/>
              </w:rPr>
            </w:pPr>
            <w:r>
              <w:rPr>
                <w:rFonts w:hint="eastAsia" w:ascii="楷体" w:hAnsi="楷体" w:eastAsia="楷体" w:cs="楷体"/>
                <w:color w:val="auto"/>
                <w:sz w:val="24"/>
                <w:szCs w:val="24"/>
              </w:rPr>
              <w:t>202</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年1月1日至报价截止日，每提供1个</w:t>
            </w:r>
            <w:r>
              <w:rPr>
                <w:rFonts w:hint="eastAsia" w:ascii="楷体" w:hAnsi="楷体" w:eastAsia="楷体" w:cs="楷体"/>
                <w:color w:val="auto"/>
                <w:sz w:val="24"/>
                <w:szCs w:val="24"/>
                <w:lang w:val="en-US" w:eastAsia="zh-CN"/>
              </w:rPr>
              <w:t>具有2MWh以上储能项目设计</w:t>
            </w:r>
            <w:r>
              <w:rPr>
                <w:rFonts w:hint="eastAsia" w:ascii="楷体" w:hAnsi="楷体" w:eastAsia="楷体" w:cs="楷体"/>
                <w:color w:val="auto"/>
                <w:sz w:val="24"/>
                <w:szCs w:val="24"/>
              </w:rPr>
              <w:t>业绩得</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分，满分</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0分；（提供合同首页、主要内容页、及签字盖章页扫描件）</w:t>
            </w:r>
          </w:p>
        </w:tc>
        <w:tc>
          <w:tcPr>
            <w:tcW w:w="899" w:type="pct"/>
            <w:vAlign w:val="center"/>
          </w:tcPr>
          <w:p w14:paraId="6E28707C">
            <w:pPr>
              <w:spacing w:line="4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0分</w:t>
            </w:r>
          </w:p>
        </w:tc>
      </w:tr>
      <w:tr w14:paraId="05DF52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92" w:type="pct"/>
            <w:vAlign w:val="center"/>
          </w:tcPr>
          <w:p w14:paraId="1983042B">
            <w:pPr>
              <w:spacing w:line="400" w:lineRule="exact"/>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2</w:t>
            </w:r>
          </w:p>
        </w:tc>
        <w:tc>
          <w:tcPr>
            <w:tcW w:w="950" w:type="pct"/>
            <w:vAlign w:val="center"/>
          </w:tcPr>
          <w:p w14:paraId="5243A742">
            <w:pPr>
              <w:spacing w:line="4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服务进度保障方案</w:t>
            </w:r>
          </w:p>
        </w:tc>
        <w:tc>
          <w:tcPr>
            <w:tcW w:w="2857" w:type="pct"/>
            <w:vAlign w:val="center"/>
          </w:tcPr>
          <w:p w14:paraId="08746D51">
            <w:pPr>
              <w:spacing w:line="400" w:lineRule="exact"/>
              <w:rPr>
                <w:rFonts w:hint="eastAsia" w:ascii="楷体" w:hAnsi="楷体" w:eastAsia="楷体" w:cs="楷体"/>
                <w:color w:val="auto"/>
                <w:sz w:val="24"/>
                <w:szCs w:val="24"/>
              </w:rPr>
            </w:pPr>
            <w:r>
              <w:rPr>
                <w:rFonts w:hint="eastAsia" w:ascii="楷体" w:hAnsi="楷体" w:eastAsia="楷体" w:cs="楷体"/>
                <w:color w:val="auto"/>
                <w:sz w:val="24"/>
                <w:szCs w:val="24"/>
              </w:rPr>
              <w:t>供应商针对本项目提供的服务进度保障方案：</w:t>
            </w:r>
          </w:p>
          <w:p w14:paraId="759263D6">
            <w:pPr>
              <w:numPr>
                <w:ilvl w:val="0"/>
                <w:numId w:val="3"/>
              </w:numPr>
              <w:spacing w:line="400" w:lineRule="exact"/>
              <w:rPr>
                <w:rFonts w:hint="eastAsia" w:ascii="楷体" w:hAnsi="楷体" w:eastAsia="楷体" w:cs="楷体"/>
                <w:color w:val="auto"/>
                <w:sz w:val="24"/>
                <w:szCs w:val="24"/>
              </w:rPr>
            </w:pPr>
            <w:r>
              <w:rPr>
                <w:rFonts w:hint="eastAsia" w:ascii="楷体" w:hAnsi="楷体" w:eastAsia="楷体" w:cs="楷体"/>
                <w:color w:val="auto"/>
                <w:sz w:val="24"/>
                <w:szCs w:val="24"/>
              </w:rPr>
              <w:t>保障方案完善，可以在询价人要求的工期内保证质量且较快完成工作内容（即报价人在报价表中填写的编制时间短于询价人要求得编制时间），得5-10分。</w:t>
            </w:r>
          </w:p>
          <w:p w14:paraId="0C0CF76A">
            <w:pPr>
              <w:numPr>
                <w:ilvl w:val="0"/>
                <w:numId w:val="3"/>
              </w:numPr>
              <w:spacing w:line="400" w:lineRule="exact"/>
              <w:rPr>
                <w:rFonts w:hint="eastAsia" w:ascii="楷体" w:hAnsi="楷体" w:eastAsia="楷体" w:cs="楷体"/>
                <w:color w:val="auto"/>
                <w:sz w:val="24"/>
                <w:szCs w:val="24"/>
              </w:rPr>
            </w:pPr>
            <w:r>
              <w:rPr>
                <w:rFonts w:hint="eastAsia" w:ascii="楷体" w:hAnsi="楷体" w:eastAsia="楷体" w:cs="楷体"/>
                <w:color w:val="auto"/>
                <w:sz w:val="24"/>
                <w:szCs w:val="24"/>
              </w:rPr>
              <w:t>保障方案一般，可以满足询价人要求的工期（即报价人在报价表中填写的编制时间与询价人要求的编制时间持平），得0-5分。</w:t>
            </w:r>
          </w:p>
        </w:tc>
        <w:tc>
          <w:tcPr>
            <w:tcW w:w="899" w:type="pct"/>
            <w:vAlign w:val="center"/>
          </w:tcPr>
          <w:p w14:paraId="687C5BEC">
            <w:pPr>
              <w:spacing w:line="4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10分</w:t>
            </w:r>
          </w:p>
        </w:tc>
      </w:tr>
      <w:tr w14:paraId="1C6F93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92" w:type="pct"/>
            <w:vAlign w:val="center"/>
          </w:tcPr>
          <w:p w14:paraId="636692C5">
            <w:pPr>
              <w:spacing w:line="4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4</w:t>
            </w:r>
          </w:p>
        </w:tc>
        <w:tc>
          <w:tcPr>
            <w:tcW w:w="950" w:type="pct"/>
            <w:vAlign w:val="center"/>
          </w:tcPr>
          <w:p w14:paraId="71196E20">
            <w:pPr>
              <w:spacing w:line="4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项目</w:t>
            </w:r>
            <w:r>
              <w:rPr>
                <w:rFonts w:hint="eastAsia" w:ascii="楷体" w:hAnsi="楷体" w:eastAsia="楷体" w:cs="楷体"/>
                <w:color w:val="auto"/>
                <w:sz w:val="24"/>
                <w:szCs w:val="24"/>
                <w:lang w:val="en-US" w:eastAsia="zh-CN"/>
              </w:rPr>
              <w:t>可研</w:t>
            </w:r>
            <w:r>
              <w:rPr>
                <w:rFonts w:hint="eastAsia" w:ascii="楷体" w:hAnsi="楷体" w:eastAsia="楷体" w:cs="楷体"/>
                <w:color w:val="auto"/>
                <w:sz w:val="24"/>
                <w:szCs w:val="24"/>
              </w:rPr>
              <w:t>方案</w:t>
            </w:r>
          </w:p>
        </w:tc>
        <w:tc>
          <w:tcPr>
            <w:tcW w:w="2857" w:type="pct"/>
            <w:vAlign w:val="center"/>
          </w:tcPr>
          <w:p w14:paraId="77A2A44D">
            <w:pPr>
              <w:spacing w:line="400" w:lineRule="exact"/>
              <w:rPr>
                <w:rFonts w:hint="eastAsia" w:ascii="楷体" w:hAnsi="楷体" w:eastAsia="楷体" w:cs="楷体"/>
                <w:color w:val="auto"/>
                <w:sz w:val="24"/>
                <w:szCs w:val="24"/>
              </w:rPr>
            </w:pPr>
            <w:r>
              <w:rPr>
                <w:rFonts w:hint="eastAsia" w:ascii="楷体" w:hAnsi="楷体" w:eastAsia="楷体" w:cs="楷体"/>
                <w:color w:val="auto"/>
                <w:sz w:val="24"/>
                <w:szCs w:val="24"/>
              </w:rPr>
              <w:t>供应商针对本项目提供</w:t>
            </w:r>
            <w:r>
              <w:rPr>
                <w:rFonts w:hint="eastAsia" w:ascii="楷体" w:hAnsi="楷体" w:eastAsia="楷体" w:cs="楷体"/>
                <w:color w:val="auto"/>
                <w:sz w:val="24"/>
                <w:szCs w:val="24"/>
                <w:lang w:val="en-US" w:eastAsia="zh-CN"/>
              </w:rPr>
              <w:t>可行性研究报告</w:t>
            </w:r>
            <w:r>
              <w:rPr>
                <w:rFonts w:hint="eastAsia" w:ascii="楷体" w:hAnsi="楷体" w:eastAsia="楷体" w:cs="楷体"/>
                <w:color w:val="auto"/>
                <w:sz w:val="24"/>
                <w:szCs w:val="24"/>
              </w:rPr>
              <w:t xml:space="preserve">方案 </w:t>
            </w:r>
          </w:p>
          <w:p w14:paraId="358626B8">
            <w:pPr>
              <w:spacing w:line="400" w:lineRule="exact"/>
              <w:rPr>
                <w:rFonts w:hint="eastAsia" w:ascii="楷体" w:hAnsi="楷体" w:eastAsia="楷体" w:cs="楷体"/>
                <w:color w:val="auto"/>
                <w:sz w:val="24"/>
                <w:szCs w:val="24"/>
              </w:rPr>
            </w:pPr>
            <w:r>
              <w:rPr>
                <w:rFonts w:hint="eastAsia" w:ascii="楷体" w:hAnsi="楷体" w:eastAsia="楷体" w:cs="楷体"/>
                <w:color w:val="auto"/>
                <w:sz w:val="24"/>
                <w:szCs w:val="24"/>
              </w:rPr>
              <w:t>A、方案具体可行、框架完整、内容合理、逻辑清晰满足询价人要求得26-40分；</w:t>
            </w:r>
          </w:p>
          <w:p w14:paraId="76882759">
            <w:pPr>
              <w:spacing w:line="400" w:lineRule="exact"/>
              <w:rPr>
                <w:rFonts w:hint="eastAsia" w:ascii="楷体" w:hAnsi="楷体" w:eastAsia="楷体" w:cs="楷体"/>
                <w:color w:val="auto"/>
                <w:sz w:val="24"/>
                <w:szCs w:val="24"/>
              </w:rPr>
            </w:pPr>
            <w:r>
              <w:rPr>
                <w:rFonts w:hint="eastAsia" w:ascii="楷体" w:hAnsi="楷体" w:eastAsia="楷体" w:cs="楷体"/>
                <w:color w:val="auto"/>
                <w:sz w:val="24"/>
                <w:szCs w:val="24"/>
              </w:rPr>
              <w:t>B、方案具体基本可行、框架基本完整、内容较为合理、逻辑较为清晰，基本满足询价人要求11-25分；</w:t>
            </w:r>
          </w:p>
          <w:p w14:paraId="605A7E9C">
            <w:pPr>
              <w:spacing w:line="400" w:lineRule="exact"/>
              <w:rPr>
                <w:rFonts w:hint="eastAsia" w:ascii="楷体" w:hAnsi="楷体" w:eastAsia="楷体" w:cs="楷体"/>
                <w:color w:val="auto"/>
                <w:sz w:val="24"/>
                <w:szCs w:val="24"/>
              </w:rPr>
            </w:pPr>
            <w:r>
              <w:rPr>
                <w:rFonts w:hint="eastAsia" w:ascii="楷体" w:hAnsi="楷体" w:eastAsia="楷体" w:cs="楷体"/>
                <w:color w:val="auto"/>
                <w:sz w:val="24"/>
                <w:szCs w:val="24"/>
              </w:rPr>
              <w:t>C、建议书方案存在缺陷（缺陷是指方案内容不符合项目实际要求、描述不详细、缺乏针对性、缺乏可操作性、不合理、前后相互矛盾、存在无法实现预期目标的风险等）得0-10分。</w:t>
            </w:r>
          </w:p>
          <w:p w14:paraId="0AB81B7D">
            <w:pPr>
              <w:spacing w:line="400" w:lineRule="exact"/>
              <w:rPr>
                <w:rFonts w:hint="eastAsia" w:ascii="楷体" w:hAnsi="楷体" w:eastAsia="楷体" w:cs="楷体"/>
                <w:color w:val="auto"/>
                <w:sz w:val="24"/>
                <w:szCs w:val="24"/>
              </w:rPr>
            </w:pPr>
            <w:r>
              <w:rPr>
                <w:rFonts w:hint="eastAsia" w:ascii="楷体" w:hAnsi="楷体" w:eastAsia="楷体" w:cs="楷体"/>
                <w:color w:val="auto"/>
                <w:sz w:val="24"/>
                <w:szCs w:val="24"/>
              </w:rPr>
              <w:t>D、未提供方案的得0分。</w:t>
            </w:r>
          </w:p>
        </w:tc>
        <w:tc>
          <w:tcPr>
            <w:tcW w:w="899" w:type="pct"/>
            <w:vAlign w:val="center"/>
          </w:tcPr>
          <w:p w14:paraId="540344B4">
            <w:pPr>
              <w:spacing w:line="4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40分</w:t>
            </w:r>
          </w:p>
        </w:tc>
      </w:tr>
    </w:tbl>
    <w:p w14:paraId="7F755F27">
      <w:pPr>
        <w:rPr>
          <w:rFonts w:hint="eastAsia" w:ascii="楷体" w:hAnsi="楷体" w:eastAsia="楷体" w:cs="楷体"/>
          <w:color w:val="auto"/>
          <w:sz w:val="24"/>
          <w:szCs w:val="24"/>
        </w:rPr>
      </w:pPr>
    </w:p>
    <w:p w14:paraId="54D04B7C">
      <w:pPr>
        <w:spacing w:line="400" w:lineRule="exact"/>
        <w:rPr>
          <w:rFonts w:hint="eastAsia" w:ascii="楷体" w:hAnsi="楷体" w:eastAsia="楷体" w:cs="楷体"/>
          <w:color w:val="auto"/>
          <w:sz w:val="24"/>
          <w:szCs w:val="24"/>
        </w:rPr>
      </w:pPr>
    </w:p>
    <w:p w14:paraId="55ECB8AD">
      <w:pPr>
        <w:spacing w:line="400" w:lineRule="exact"/>
        <w:rPr>
          <w:rFonts w:hint="eastAsia" w:ascii="楷体" w:hAnsi="楷体" w:eastAsia="楷体" w:cs="楷体"/>
          <w:color w:val="auto"/>
          <w:sz w:val="24"/>
          <w:szCs w:val="24"/>
        </w:rPr>
      </w:pPr>
      <w:r>
        <w:rPr>
          <w:rFonts w:hint="eastAsia" w:ascii="楷体" w:hAnsi="楷体" w:eastAsia="楷体" w:cs="楷体"/>
          <w:color w:val="auto"/>
          <w:sz w:val="24"/>
          <w:szCs w:val="24"/>
        </w:rPr>
        <w:t>附件2：价格评分办法：</w:t>
      </w:r>
    </w:p>
    <w:p w14:paraId="3784DA71">
      <w:pPr>
        <w:spacing w:before="156" w:beforeLines="50" w:line="50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通过形式评审、资格评审、响应性评审的所有投标人报价的算术平均值即为评标基准价（如果有效报价超过6家(不含)时，去掉1个最高值和1个最低值后取平均）。</w:t>
      </w:r>
    </w:p>
    <w:p w14:paraId="7EBCF68A">
      <w:pPr>
        <w:spacing w:line="50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偏差率=100% ×（投标总价－评标基准价）/评标基准价</w:t>
      </w:r>
    </w:p>
    <w:p w14:paraId="324B1601">
      <w:pPr>
        <w:pStyle w:val="44"/>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报价得分计算公式示例：</w:t>
      </w:r>
    </w:p>
    <w:p w14:paraId="0597E03C">
      <w:pPr>
        <w:pStyle w:val="45"/>
        <w:numPr>
          <w:ilvl w:val="0"/>
          <w:numId w:val="4"/>
        </w:numPr>
        <w:spacing w:line="500" w:lineRule="exact"/>
        <w:ind w:firstLineChars="0"/>
        <w:rPr>
          <w:rFonts w:hint="eastAsia" w:ascii="楷体" w:hAnsi="楷体" w:eastAsia="楷体" w:cs="楷体"/>
          <w:color w:val="auto"/>
          <w:sz w:val="24"/>
          <w:szCs w:val="24"/>
        </w:rPr>
      </w:pPr>
      <w:r>
        <w:rPr>
          <w:rFonts w:hint="eastAsia" w:ascii="楷体" w:hAnsi="楷体" w:eastAsia="楷体" w:cs="楷体"/>
          <w:color w:val="auto"/>
          <w:sz w:val="24"/>
          <w:szCs w:val="24"/>
        </w:rPr>
        <w:t>如果投标人的评标价＞评标基准价，则评标价得分=F-偏差率×100×E1；E1=1，F为报价得分的满分30分；</w:t>
      </w:r>
    </w:p>
    <w:p w14:paraId="2E82164B">
      <w:pPr>
        <w:spacing w:line="50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②如果投标人的评标价≤评标基准价，则评标价得分=F+偏差率×100×E2；E2=0，F为报价得分的满分30分。</w:t>
      </w:r>
    </w:p>
    <w:p w14:paraId="3CAC164F">
      <w:pPr>
        <w:rPr>
          <w:rFonts w:hint="eastAsia" w:ascii="楷体" w:hAnsi="楷体" w:eastAsia="楷体" w:cs="楷体"/>
          <w:b/>
          <w:color w:val="auto"/>
        </w:rPr>
      </w:pPr>
      <w:r>
        <w:rPr>
          <w:rFonts w:hint="eastAsia" w:ascii="楷体" w:hAnsi="楷体" w:eastAsia="楷体" w:cs="楷体"/>
          <w:b/>
          <w:color w:val="auto"/>
        </w:rPr>
        <w:br w:type="page"/>
      </w:r>
    </w:p>
    <w:p w14:paraId="30E09F08">
      <w:pPr>
        <w:pStyle w:val="29"/>
        <w:numPr>
          <w:ilvl w:val="0"/>
          <w:numId w:val="2"/>
        </w:numPr>
        <w:rPr>
          <w:rFonts w:hint="eastAsia" w:ascii="楷体" w:hAnsi="楷体" w:eastAsia="楷体" w:cs="楷体"/>
          <w:b/>
          <w:bCs w:val="0"/>
          <w:color w:val="auto"/>
        </w:rPr>
      </w:pPr>
      <w:bookmarkStart w:id="32" w:name="_Toc196"/>
      <w:r>
        <w:rPr>
          <w:rFonts w:hint="eastAsia" w:ascii="楷体" w:hAnsi="楷体" w:eastAsia="楷体" w:cs="楷体"/>
          <w:b/>
          <w:bCs w:val="0"/>
          <w:color w:val="auto"/>
        </w:rPr>
        <w:t>合同（格式）</w:t>
      </w:r>
      <w:bookmarkEnd w:id="32"/>
    </w:p>
    <w:p w14:paraId="3441B093">
      <w:pPr>
        <w:jc w:val="center"/>
        <w:rPr>
          <w:rFonts w:hint="eastAsia" w:ascii="宋体" w:hAnsi="宋体"/>
          <w:b/>
          <w:bCs/>
          <w:color w:val="auto"/>
          <w:sz w:val="44"/>
          <w:szCs w:val="44"/>
        </w:rPr>
      </w:pPr>
    </w:p>
    <w:p w14:paraId="571FD9DB">
      <w:pPr>
        <w:jc w:val="center"/>
        <w:rPr>
          <w:rFonts w:hint="eastAsia" w:ascii="宋体" w:hAnsi="宋体"/>
          <w:b/>
          <w:bCs/>
          <w:color w:val="auto"/>
          <w:sz w:val="44"/>
          <w:szCs w:val="44"/>
        </w:rPr>
      </w:pPr>
    </w:p>
    <w:p w14:paraId="7BF59A52">
      <w:pPr>
        <w:jc w:val="center"/>
        <w:rPr>
          <w:rFonts w:hint="eastAsia" w:ascii="宋体" w:hAnsi="宋体"/>
          <w:b/>
          <w:bCs/>
          <w:color w:val="auto"/>
          <w:sz w:val="44"/>
          <w:szCs w:val="44"/>
        </w:rPr>
      </w:pPr>
    </w:p>
    <w:p w14:paraId="39EB3B02">
      <w:pPr>
        <w:tabs>
          <w:tab w:val="left" w:pos="5529"/>
        </w:tabs>
        <w:kinsoku/>
        <w:wordWrap w:val="0"/>
        <w:overflowPunct/>
        <w:topLinePunct w:val="0"/>
        <w:bidi w:val="0"/>
        <w:spacing w:line="460" w:lineRule="exact"/>
        <w:ind w:right="420"/>
        <w:jc w:val="both"/>
        <w:textAlignment w:val="auto"/>
        <w:rPr>
          <w:rFonts w:hint="eastAsia" w:ascii="宋体" w:hAnsi="宋体" w:eastAsia="宋体" w:cs="宋体"/>
          <w:b w:val="0"/>
          <w:bCs/>
          <w:color w:val="auto"/>
          <w:sz w:val="28"/>
          <w:szCs w:val="28"/>
          <w:highlight w:val="none"/>
          <w:lang w:eastAsia="zh-CN"/>
        </w:rPr>
      </w:pPr>
      <w:bookmarkStart w:id="33" w:name="_Hlk530129286"/>
      <w:r>
        <w:rPr>
          <w:rFonts w:hint="eastAsia" w:ascii="宋体" w:hAnsi="宋体" w:eastAsia="宋体" w:cs="宋体"/>
          <w:b w:val="0"/>
          <w:bCs/>
          <w:color w:val="auto"/>
          <w:sz w:val="28"/>
          <w:szCs w:val="28"/>
          <w:highlight w:val="none"/>
          <w:lang w:eastAsia="zh-CN"/>
        </w:rPr>
        <w:t>合同编号：</w:t>
      </w:r>
    </w:p>
    <w:p w14:paraId="7B4B40B8">
      <w:pPr>
        <w:pStyle w:val="5"/>
        <w:rPr>
          <w:rFonts w:hint="eastAsia"/>
          <w:color w:val="auto"/>
          <w:highlight w:val="none"/>
          <w:lang w:eastAsia="zh-CN"/>
        </w:rPr>
      </w:pPr>
    </w:p>
    <w:p w14:paraId="5EA77847">
      <w:pPr>
        <w:tabs>
          <w:tab w:val="left" w:pos="5529"/>
        </w:tabs>
        <w:kinsoku/>
        <w:wordWrap w:val="0"/>
        <w:overflowPunct/>
        <w:topLinePunct w:val="0"/>
        <w:bidi w:val="0"/>
        <w:spacing w:line="460" w:lineRule="exact"/>
        <w:ind w:right="420"/>
        <w:jc w:val="both"/>
        <w:textAlignment w:val="auto"/>
        <w:rPr>
          <w:rFonts w:hint="eastAsia" w:ascii="宋体" w:hAnsi="宋体" w:eastAsia="宋体" w:cs="宋体"/>
          <w:b/>
          <w:color w:val="auto"/>
          <w:szCs w:val="21"/>
          <w:highlight w:val="none"/>
          <w:lang w:eastAsia="zh-CN"/>
        </w:rPr>
      </w:pPr>
    </w:p>
    <w:p w14:paraId="4570F71A">
      <w:pPr>
        <w:pStyle w:val="10"/>
        <w:spacing w:before="0" w:beforeAutospacing="0" w:after="0" w:afterAutospacing="0" w:line="720" w:lineRule="auto"/>
        <w:jc w:val="center"/>
        <w:rPr>
          <w:rFonts w:ascii="仿宋" w:hAnsi="仿宋" w:eastAsia="仿宋" w:cs="仿宋"/>
          <w:b/>
          <w:color w:val="auto"/>
          <w:sz w:val="36"/>
          <w:szCs w:val="36"/>
          <w:u w:val="single"/>
        </w:rPr>
      </w:pPr>
      <w:r>
        <w:rPr>
          <w:rFonts w:hint="eastAsia" w:ascii="仿宋" w:hAnsi="仿宋" w:eastAsia="仿宋" w:cs="仿宋"/>
          <w:b/>
          <w:color w:val="auto"/>
          <w:sz w:val="36"/>
          <w:szCs w:val="36"/>
          <w:u w:val="single"/>
        </w:rPr>
        <w:t>海南洋浦迎宾馆用户侧储能项目</w:t>
      </w:r>
    </w:p>
    <w:p w14:paraId="19C47737">
      <w:pPr>
        <w:pStyle w:val="10"/>
        <w:spacing w:before="0" w:beforeAutospacing="0" w:after="0" w:afterAutospacing="0" w:line="72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编制可行性研究报告技术咨询服务合同</w:t>
      </w:r>
    </w:p>
    <w:p w14:paraId="211E397F">
      <w:pPr>
        <w:spacing w:line="460" w:lineRule="exact"/>
        <w:jc w:val="center"/>
        <w:rPr>
          <w:rFonts w:ascii="仿宋_GB2312" w:hAnsi="仿宋_GB2312" w:eastAsia="仿宋_GB2312" w:cs="仿宋_GB2312"/>
          <w:b/>
          <w:color w:val="auto"/>
          <w:sz w:val="32"/>
          <w:szCs w:val="32"/>
        </w:rPr>
      </w:pPr>
    </w:p>
    <w:p w14:paraId="1F907FAD">
      <w:pPr>
        <w:spacing w:line="460" w:lineRule="exact"/>
        <w:jc w:val="center"/>
        <w:rPr>
          <w:rFonts w:ascii="仿宋_GB2312" w:hAnsi="仿宋_GB2312" w:eastAsia="仿宋_GB2312" w:cs="仿宋_GB2312"/>
          <w:b/>
          <w:color w:val="auto"/>
          <w:sz w:val="32"/>
          <w:szCs w:val="32"/>
        </w:rPr>
      </w:pPr>
    </w:p>
    <w:p w14:paraId="057ECEB7">
      <w:pPr>
        <w:spacing w:line="460" w:lineRule="exact"/>
        <w:rPr>
          <w:rFonts w:ascii="仿宋_GB2312" w:hAnsi="仿宋_GB2312" w:eastAsia="仿宋_GB2312" w:cs="仿宋_GB2312"/>
          <w:b/>
          <w:color w:val="auto"/>
          <w:sz w:val="32"/>
          <w:szCs w:val="32"/>
        </w:rPr>
      </w:pPr>
    </w:p>
    <w:p w14:paraId="6CCD052A">
      <w:pPr>
        <w:pStyle w:val="5"/>
        <w:rPr>
          <w:color w:val="auto"/>
        </w:rPr>
      </w:pPr>
    </w:p>
    <w:p w14:paraId="104C0F6D">
      <w:pPr>
        <w:spacing w:line="460" w:lineRule="exact"/>
        <w:jc w:val="center"/>
        <w:rPr>
          <w:rFonts w:ascii="仿宋_GB2312" w:hAnsi="仿宋_GB2312" w:eastAsia="仿宋_GB2312" w:cs="仿宋_GB2312"/>
          <w:b/>
          <w:color w:val="auto"/>
          <w:sz w:val="32"/>
          <w:szCs w:val="32"/>
        </w:rPr>
      </w:pPr>
    </w:p>
    <w:p w14:paraId="50F8831E">
      <w:pPr>
        <w:spacing w:line="460" w:lineRule="exact"/>
        <w:jc w:val="center"/>
        <w:rPr>
          <w:rFonts w:ascii="仿宋_GB2312" w:hAnsi="仿宋_GB2312" w:eastAsia="仿宋_GB2312" w:cs="仿宋_GB2312"/>
          <w:b/>
          <w:color w:val="auto"/>
          <w:sz w:val="32"/>
          <w:szCs w:val="32"/>
        </w:rPr>
      </w:pPr>
    </w:p>
    <w:p w14:paraId="68CAEA6A">
      <w:pPr>
        <w:spacing w:line="460" w:lineRule="exact"/>
        <w:jc w:val="center"/>
        <w:rPr>
          <w:rFonts w:ascii="仿宋_GB2312" w:hAnsi="仿宋_GB2312" w:eastAsia="仿宋_GB2312" w:cs="仿宋_GB2312"/>
          <w:b/>
          <w:color w:val="auto"/>
          <w:sz w:val="32"/>
          <w:szCs w:val="32"/>
        </w:rPr>
      </w:pPr>
    </w:p>
    <w:p w14:paraId="4B8FE084">
      <w:pPr>
        <w:spacing w:line="460" w:lineRule="exact"/>
        <w:ind w:firstLine="723" w:firstLineChars="200"/>
        <w:rPr>
          <w:rFonts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甲方：海南洋浦陆海能源发展有限公司</w:t>
      </w:r>
    </w:p>
    <w:p w14:paraId="69A4F307">
      <w:pPr>
        <w:spacing w:line="460" w:lineRule="exact"/>
        <w:jc w:val="center"/>
        <w:rPr>
          <w:rFonts w:ascii="仿宋_GB2312" w:hAnsi="仿宋_GB2312" w:eastAsia="仿宋_GB2312" w:cs="仿宋_GB2312"/>
          <w:b/>
          <w:color w:val="auto"/>
          <w:sz w:val="36"/>
          <w:szCs w:val="36"/>
        </w:rPr>
      </w:pPr>
    </w:p>
    <w:p w14:paraId="780C53E4">
      <w:pPr>
        <w:spacing w:line="460" w:lineRule="exact"/>
        <w:ind w:firstLine="723" w:firstLineChars="200"/>
        <w:rPr>
          <w:rFonts w:ascii="仿宋_GB2312" w:hAnsi="仿宋_GB2312" w:eastAsia="仿宋_GB2312" w:cs="仿宋_GB2312"/>
          <w:b/>
          <w:color w:val="auto"/>
          <w:sz w:val="36"/>
          <w:szCs w:val="36"/>
          <w:u w:val="single"/>
        </w:rPr>
      </w:pPr>
      <w:r>
        <w:rPr>
          <w:rFonts w:hint="eastAsia" w:ascii="仿宋_GB2312" w:hAnsi="仿宋_GB2312" w:eastAsia="仿宋_GB2312" w:cs="仿宋_GB2312"/>
          <w:b/>
          <w:color w:val="auto"/>
          <w:sz w:val="36"/>
          <w:szCs w:val="36"/>
        </w:rPr>
        <w:t>乙方：</w:t>
      </w:r>
    </w:p>
    <w:p w14:paraId="0BFB57CE">
      <w:pPr>
        <w:pStyle w:val="5"/>
        <w:rPr>
          <w:color w:val="auto"/>
        </w:rPr>
      </w:pPr>
    </w:p>
    <w:p w14:paraId="4464249F">
      <w:pPr>
        <w:spacing w:line="460" w:lineRule="exact"/>
        <w:ind w:firstLine="723" w:firstLineChars="200"/>
        <w:rPr>
          <w:rFonts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签订地点：海南洋浦</w:t>
      </w:r>
    </w:p>
    <w:p w14:paraId="50DDB6BC">
      <w:pPr>
        <w:spacing w:line="460" w:lineRule="exact"/>
        <w:jc w:val="center"/>
        <w:rPr>
          <w:rFonts w:ascii="仿宋_GB2312" w:hAnsi="仿宋_GB2312" w:eastAsia="仿宋_GB2312" w:cs="仿宋_GB2312"/>
          <w:b/>
          <w:color w:val="auto"/>
          <w:sz w:val="36"/>
          <w:szCs w:val="36"/>
        </w:rPr>
      </w:pPr>
    </w:p>
    <w:p w14:paraId="64B8355E">
      <w:pPr>
        <w:spacing w:line="460" w:lineRule="exact"/>
        <w:ind w:firstLine="723" w:firstLineChars="200"/>
        <w:rPr>
          <w:rFonts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签订时间：</w:t>
      </w:r>
    </w:p>
    <w:p w14:paraId="09E446A5">
      <w:pPr>
        <w:spacing w:line="460" w:lineRule="exact"/>
        <w:rPr>
          <w:rFonts w:ascii="仿宋" w:hAnsi="仿宋" w:eastAsia="仿宋" w:cs="仿宋"/>
          <w:b/>
          <w:color w:val="auto"/>
          <w:sz w:val="28"/>
          <w:szCs w:val="28"/>
        </w:rPr>
        <w:sectPr>
          <w:headerReference r:id="rId11" w:type="default"/>
          <w:pgSz w:w="11906" w:h="16838"/>
          <w:pgMar w:top="1440" w:right="1800" w:bottom="1440" w:left="1800" w:header="851" w:footer="992" w:gutter="0"/>
          <w:cols w:space="425" w:num="1"/>
          <w:docGrid w:type="lines" w:linePitch="312" w:charSpace="0"/>
        </w:sectPr>
      </w:pPr>
    </w:p>
    <w:p w14:paraId="1576E636">
      <w:pPr>
        <w:pageBreakBefore/>
        <w:adjustRightInd w:val="0"/>
        <w:snapToGrid w:val="0"/>
        <w:spacing w:line="360" w:lineRule="auto"/>
        <w:rPr>
          <w:rFonts w:ascii="仿宋" w:hAnsi="仿宋" w:eastAsia="仿宋" w:cs="仿宋"/>
          <w:b/>
          <w:color w:val="auto"/>
          <w:sz w:val="28"/>
          <w:szCs w:val="28"/>
        </w:rPr>
      </w:pPr>
      <w:r>
        <w:rPr>
          <w:rFonts w:hint="eastAsia" w:ascii="仿宋" w:hAnsi="仿宋" w:eastAsia="仿宋" w:cs="仿宋"/>
          <w:b/>
          <w:color w:val="auto"/>
          <w:sz w:val="28"/>
          <w:szCs w:val="28"/>
        </w:rPr>
        <w:t xml:space="preserve">委托方(甲方)：海南洋浦陆海能源发展有限公司 </w:t>
      </w:r>
      <w:r>
        <w:rPr>
          <w:rFonts w:hint="eastAsia" w:ascii="仿宋" w:hAnsi="仿宋" w:eastAsia="仿宋" w:cs="仿宋"/>
          <w:b/>
          <w:color w:val="auto"/>
          <w:sz w:val="28"/>
          <w:szCs w:val="28"/>
          <w:lang w:val="en-GB"/>
        </w:rPr>
        <w:t xml:space="preserve"> </w:t>
      </w:r>
    </w:p>
    <w:p w14:paraId="0D6A56EC">
      <w:pPr>
        <w:adjustRightInd w:val="0"/>
        <w:snapToGrid w:val="0"/>
        <w:spacing w:line="360" w:lineRule="auto"/>
        <w:rPr>
          <w:rFonts w:ascii="仿宋" w:hAnsi="仿宋" w:eastAsia="仿宋" w:cs="仿宋"/>
          <w:b/>
          <w:color w:val="auto"/>
          <w:sz w:val="28"/>
          <w:szCs w:val="28"/>
        </w:rPr>
      </w:pPr>
      <w:r>
        <w:rPr>
          <w:rFonts w:hint="eastAsia" w:ascii="仿宋" w:hAnsi="仿宋" w:eastAsia="仿宋" w:cs="仿宋"/>
          <w:b/>
          <w:color w:val="auto"/>
          <w:sz w:val="28"/>
          <w:szCs w:val="28"/>
        </w:rPr>
        <w:t>受托方（乙方）：</w:t>
      </w:r>
    </w:p>
    <w:p w14:paraId="43956324">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根据《中华人民共和国民法典》及有关法律、法规规定，甲乙双方本着平等、自愿、协商一致的原则，结合本项目的具体情况，就海南洋浦迎宾馆用户侧储能项目编制可行性研究报告技术服务，达成如下协议。</w:t>
      </w:r>
    </w:p>
    <w:p w14:paraId="550939E3">
      <w:pPr>
        <w:adjustRightInd w:val="0"/>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1. 技术服务要求</w:t>
      </w:r>
    </w:p>
    <w:p w14:paraId="5DFEA330">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 服务项目及内容：编制完成海南洋浦迎宾馆用户侧储能项目可行性研究报告并组织专家评审及工程图纸审查，本报告编制深度应满足报建手续行政审批要求及甲方决策审议需求。</w:t>
      </w:r>
    </w:p>
    <w:p w14:paraId="3CDC4AEF">
      <w:pPr>
        <w:pStyle w:val="10"/>
        <w:spacing w:before="0" w:beforeAutospacing="0" w:after="0" w:afterAutospacing="0" w:line="360" w:lineRule="auto"/>
        <w:ind w:firstLine="560" w:firstLineChars="200"/>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rPr>
        <w:t xml:space="preserve">1.2 </w:t>
      </w:r>
      <w:commentRangeStart w:id="0"/>
      <w:r>
        <w:rPr>
          <w:rFonts w:hint="eastAsia" w:ascii="仿宋" w:hAnsi="仿宋" w:eastAsia="仿宋" w:cs="仿宋"/>
          <w:color w:val="auto"/>
          <w:kern w:val="2"/>
          <w:sz w:val="28"/>
          <w:szCs w:val="28"/>
        </w:rPr>
        <w:t>服务期限</w:t>
      </w:r>
      <w:commentRangeEnd w:id="0"/>
      <w:r>
        <w:rPr>
          <w:rStyle w:val="25"/>
          <w:rFonts w:asciiTheme="minorHAnsi" w:hAnsiTheme="minorHAnsi"/>
          <w:color w:val="auto"/>
          <w:kern w:val="2"/>
        </w:rPr>
        <w:commentReference w:id="0"/>
      </w:r>
      <w:r>
        <w:rPr>
          <w:rFonts w:hint="eastAsia" w:ascii="仿宋" w:hAnsi="仿宋" w:eastAsia="仿宋" w:cs="仿宋"/>
          <w:color w:val="auto"/>
          <w:kern w:val="2"/>
          <w:sz w:val="28"/>
          <w:szCs w:val="28"/>
        </w:rPr>
        <w:t>：本合同经双方盖章后生效，双方履行完合同规定的义务后，本合同服务期即终止</w:t>
      </w:r>
      <w:r>
        <w:rPr>
          <w:rFonts w:hint="eastAsia" w:ascii="仿宋" w:hAnsi="仿宋" w:eastAsia="仿宋" w:cs="仿宋"/>
          <w:color w:val="auto"/>
          <w:kern w:val="2"/>
          <w:sz w:val="28"/>
          <w:szCs w:val="28"/>
          <w:lang w:eastAsia="zh-CN"/>
        </w:rPr>
        <w:t>。</w:t>
      </w:r>
    </w:p>
    <w:p w14:paraId="0CC74D98">
      <w:pPr>
        <w:pStyle w:val="10"/>
        <w:spacing w:before="0" w:beforeAutospacing="0" w:after="0" w:afterAutospacing="0" w:line="360" w:lineRule="auto"/>
        <w:ind w:firstLine="560" w:firstLineChars="200"/>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1）乙方于合同签订后20个工作日内完成可研编制并经过评审</w:t>
      </w:r>
      <w:r>
        <w:rPr>
          <w:rFonts w:hint="eastAsia" w:ascii="仿宋" w:hAnsi="仿宋" w:eastAsia="仿宋" w:cs="仿宋"/>
          <w:color w:val="auto"/>
          <w:kern w:val="2"/>
          <w:sz w:val="28"/>
          <w:szCs w:val="28"/>
          <w:lang w:eastAsia="zh-CN"/>
        </w:rPr>
        <w:t>；</w:t>
      </w:r>
    </w:p>
    <w:p w14:paraId="4A29189E">
      <w:pPr>
        <w:pStyle w:val="10"/>
        <w:spacing w:before="0" w:beforeAutospacing="0" w:after="0" w:afterAutospacing="0" w:line="360" w:lineRule="auto"/>
        <w:ind w:firstLine="560" w:firstLineChars="200"/>
        <w:rPr>
          <w:rFonts w:hint="default"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2）乙方于甲方提供工程图纸后10个工作日内完成图纸审查并出具意见。</w:t>
      </w:r>
    </w:p>
    <w:p w14:paraId="54F87BF0">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1.3 项目地点：海南洋浦经济开发区迎宾馆。</w:t>
      </w:r>
    </w:p>
    <w:p w14:paraId="5BB7771C">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1.4 在本合同履行中，乙方应指派项目负责人(姓名：XXX，手机号码：XXX)为甲方提供技术服务，未经甲方书面同意，乙方不得随意更换项目负责人。</w:t>
      </w:r>
    </w:p>
    <w:p w14:paraId="37EB0462">
      <w:pPr>
        <w:pStyle w:val="5"/>
        <w:ind w:firstLine="560" w:firstLineChars="200"/>
        <w:rPr>
          <w:b w:val="0"/>
          <w:bCs w:val="0"/>
          <w:color w:val="auto"/>
        </w:rPr>
      </w:pPr>
      <w:r>
        <w:rPr>
          <w:rFonts w:hint="eastAsia" w:ascii="仿宋" w:hAnsi="仿宋" w:eastAsia="仿宋" w:cs="仿宋"/>
          <w:b w:val="0"/>
          <w:bCs w:val="0"/>
          <w:color w:val="auto"/>
        </w:rPr>
        <w:t>1.</w:t>
      </w:r>
      <w:r>
        <w:rPr>
          <w:rFonts w:hint="eastAsia" w:ascii="仿宋" w:hAnsi="仿宋" w:eastAsia="仿宋" w:cs="仿宋"/>
          <w:b w:val="0"/>
          <w:bCs w:val="0"/>
          <w:color w:val="auto"/>
          <w:lang w:val="en-US" w:eastAsia="zh-CN"/>
        </w:rPr>
        <w:t>5</w:t>
      </w:r>
      <w:r>
        <w:rPr>
          <w:rFonts w:hint="eastAsia" w:ascii="仿宋" w:hAnsi="仿宋" w:eastAsia="仿宋" w:cs="仿宋"/>
          <w:b w:val="0"/>
          <w:bCs w:val="0"/>
          <w:color w:val="auto"/>
        </w:rPr>
        <w:t xml:space="preserve"> 设计技术成果要求：</w:t>
      </w:r>
    </w:p>
    <w:p w14:paraId="4E13EB9B">
      <w:pPr>
        <w:adjustRightInd w:val="0"/>
        <w:snapToGrid w:val="0"/>
        <w:spacing w:line="360" w:lineRule="auto"/>
        <w:ind w:firstLine="420" w:firstLineChars="150"/>
        <w:rPr>
          <w:rFonts w:ascii="仿宋" w:hAnsi="仿宋" w:eastAsia="仿宋" w:cs="仿宋"/>
          <w:color w:val="auto"/>
          <w:sz w:val="28"/>
          <w:szCs w:val="28"/>
        </w:rPr>
      </w:pPr>
      <w:r>
        <w:rPr>
          <w:rFonts w:hint="eastAsia" w:ascii="仿宋" w:hAnsi="仿宋" w:eastAsia="仿宋" w:cs="仿宋"/>
          <w:color w:val="auto"/>
          <w:sz w:val="28"/>
          <w:szCs w:val="28"/>
        </w:rPr>
        <w:t>（1）设计成果须符合国家、地方、行业的最新设计规范要求。</w:t>
      </w:r>
    </w:p>
    <w:p w14:paraId="6D428880">
      <w:pPr>
        <w:adjustRightInd w:val="0"/>
        <w:snapToGrid w:val="0"/>
        <w:spacing w:line="360" w:lineRule="auto"/>
        <w:ind w:firstLine="420" w:firstLineChars="150"/>
        <w:rPr>
          <w:rFonts w:ascii="仿宋" w:hAnsi="仿宋" w:eastAsia="仿宋" w:cs="仿宋"/>
          <w:color w:val="auto"/>
          <w:sz w:val="28"/>
          <w:szCs w:val="28"/>
        </w:rPr>
      </w:pPr>
      <w:r>
        <w:rPr>
          <w:rFonts w:hint="eastAsia" w:ascii="仿宋" w:hAnsi="仿宋" w:eastAsia="仿宋" w:cs="仿宋"/>
          <w:color w:val="auto"/>
          <w:sz w:val="28"/>
          <w:szCs w:val="28"/>
        </w:rPr>
        <w:t>（2）提交报告文件份数：可行性研究报告2本、扫描件1份（经过评审并收口盖章）。</w:t>
      </w:r>
    </w:p>
    <w:p w14:paraId="2C7B859F">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 工程图纸审查要求：</w:t>
      </w:r>
    </w:p>
    <w:p w14:paraId="19C1E6A0">
      <w:pPr>
        <w:adjustRightInd w:val="0"/>
        <w:snapToGrid w:val="0"/>
        <w:spacing w:line="360" w:lineRule="auto"/>
        <w:ind w:firstLine="420" w:firstLineChars="150"/>
        <w:rPr>
          <w:rFonts w:ascii="仿宋" w:hAnsi="仿宋" w:eastAsia="仿宋" w:cs="仿宋"/>
          <w:color w:val="auto"/>
          <w:sz w:val="28"/>
          <w:szCs w:val="28"/>
        </w:rPr>
      </w:pPr>
      <w:r>
        <w:rPr>
          <w:rFonts w:hint="eastAsia" w:ascii="仿宋" w:hAnsi="仿宋" w:eastAsia="仿宋" w:cs="仿宋"/>
          <w:color w:val="auto"/>
          <w:sz w:val="28"/>
          <w:szCs w:val="28"/>
        </w:rPr>
        <w:t>（1）工程图纸审查成果须符合国家、地方、行业的最新设计规范要求。</w:t>
      </w:r>
    </w:p>
    <w:p w14:paraId="3EB95500">
      <w:pPr>
        <w:adjustRightInd w:val="0"/>
        <w:snapToGrid w:val="0"/>
        <w:spacing w:line="360" w:lineRule="auto"/>
        <w:ind w:firstLine="420" w:firstLineChars="150"/>
        <w:rPr>
          <w:rFonts w:ascii="仿宋" w:hAnsi="仿宋" w:eastAsia="仿宋" w:cs="仿宋"/>
          <w:color w:val="auto"/>
          <w:sz w:val="28"/>
          <w:szCs w:val="28"/>
        </w:rPr>
      </w:pPr>
      <w:r>
        <w:rPr>
          <w:rFonts w:hint="eastAsia" w:ascii="仿宋" w:hAnsi="仿宋" w:eastAsia="仿宋" w:cs="仿宋"/>
          <w:color w:val="auto"/>
          <w:sz w:val="28"/>
          <w:szCs w:val="28"/>
        </w:rPr>
        <w:t>（2）提交审查文件份数：图纸审查意见2份。</w:t>
      </w:r>
    </w:p>
    <w:p w14:paraId="66FEC8C6">
      <w:pPr>
        <w:adjustRightInd w:val="0"/>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2. 协作事项</w:t>
      </w:r>
    </w:p>
    <w:p w14:paraId="576943B9">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为保障乙方有效进行技术服务工作，甲方应向乙方提供下列协作事项：</w:t>
      </w:r>
    </w:p>
    <w:p w14:paraId="7C57EA58">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2.1 工作条件：本合同履行期间，甲方应保障乙方顺利进场踏勘作业。</w:t>
      </w:r>
    </w:p>
    <w:p w14:paraId="53C61F83">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2.2 基础资料：甲方应向乙方提供开展技术服务工作所需的红线图、建筑结构图等基础资料，并对提供的时间、进度和资料的可靠性负责。</w:t>
      </w:r>
    </w:p>
    <w:p w14:paraId="72B3D3DB">
      <w:pPr>
        <w:adjustRightInd w:val="0"/>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3. 合同价格</w:t>
      </w:r>
    </w:p>
    <w:p w14:paraId="77D36EA4">
      <w:pPr>
        <w:adjustRightInd w:val="0"/>
        <w:snapToGrid w:val="0"/>
        <w:spacing w:line="360" w:lineRule="auto"/>
        <w:ind w:firstLine="548" w:firstLineChars="196"/>
        <w:rPr>
          <w:rFonts w:ascii="仿宋" w:hAnsi="仿宋" w:eastAsia="仿宋" w:cs="仿宋"/>
          <w:color w:val="auto"/>
          <w:sz w:val="28"/>
          <w:szCs w:val="28"/>
        </w:rPr>
      </w:pPr>
      <w:r>
        <w:rPr>
          <w:rFonts w:hint="eastAsia" w:ascii="仿宋" w:hAnsi="仿宋" w:eastAsia="仿宋" w:cs="仿宋"/>
          <w:color w:val="auto"/>
          <w:sz w:val="28"/>
          <w:szCs w:val="28"/>
        </w:rPr>
        <w:t xml:space="preserve"> 本合同为包干价，总额（含税）为人民币(小写)</w:t>
      </w:r>
      <w:r>
        <w:rPr>
          <w:rFonts w:hint="eastAsia" w:ascii="仿宋" w:hAnsi="仿宋" w:eastAsia="仿宋" w:cs="仿宋"/>
          <w:b/>
          <w:bCs/>
          <w:color w:val="auto"/>
          <w:sz w:val="28"/>
          <w:szCs w:val="28"/>
          <w:u w:val="single"/>
        </w:rPr>
        <w:t xml:space="preserve"> XXX </w:t>
      </w:r>
      <w:r>
        <w:rPr>
          <w:rFonts w:hint="eastAsia" w:ascii="仿宋" w:hAnsi="仿宋" w:eastAsia="仿宋" w:cs="仿宋"/>
          <w:color w:val="auto"/>
          <w:sz w:val="28"/>
          <w:szCs w:val="28"/>
        </w:rPr>
        <w:t>元（大写</w:t>
      </w:r>
      <w:r>
        <w:rPr>
          <w:rFonts w:hint="eastAsia" w:ascii="仿宋" w:hAnsi="仿宋" w:eastAsia="仿宋" w:cs="仿宋"/>
          <w:b/>
          <w:bCs/>
          <w:color w:val="auto"/>
          <w:sz w:val="28"/>
          <w:szCs w:val="28"/>
          <w:u w:val="single"/>
        </w:rPr>
        <w:t xml:space="preserve"> XXX</w:t>
      </w:r>
      <w:r>
        <w:rPr>
          <w:rFonts w:hint="eastAsia" w:ascii="仿宋" w:hAnsi="仿宋" w:eastAsia="仿宋" w:cs="仿宋"/>
          <w:color w:val="auto"/>
          <w:sz w:val="28"/>
          <w:szCs w:val="28"/>
        </w:rPr>
        <w:t>）。上述价款包含技术服务费、乙方的利润及其人员工资报酬、差旅费、编制费、工本费、会议费、</w:t>
      </w:r>
      <w:r>
        <w:rPr>
          <w:rFonts w:hint="eastAsia" w:ascii="仿宋" w:hAnsi="仿宋" w:eastAsia="仿宋" w:cs="仿宋"/>
          <w:bCs/>
          <w:color w:val="auto"/>
          <w:sz w:val="28"/>
          <w:szCs w:val="28"/>
        </w:rPr>
        <w:t>税费、专家评审费等一切费用，</w:t>
      </w:r>
      <w:r>
        <w:rPr>
          <w:rFonts w:hint="eastAsia" w:ascii="仿宋" w:hAnsi="仿宋" w:eastAsia="仿宋" w:cs="仿宋"/>
          <w:color w:val="auto"/>
          <w:sz w:val="28"/>
          <w:szCs w:val="28"/>
        </w:rPr>
        <w:t>乙方应向甲方开具税率为</w:t>
      </w:r>
      <w:r>
        <w:rPr>
          <w:rFonts w:hint="eastAsia" w:ascii="仿宋" w:hAnsi="仿宋" w:eastAsia="仿宋" w:cs="仿宋"/>
          <w:b/>
          <w:color w:val="auto"/>
          <w:sz w:val="28"/>
          <w:szCs w:val="28"/>
          <w:u w:val="single"/>
        </w:rPr>
        <w:t xml:space="preserve"> 6% </w:t>
      </w:r>
      <w:r>
        <w:rPr>
          <w:rFonts w:hint="eastAsia" w:ascii="仿宋" w:hAnsi="仿宋" w:eastAsia="仿宋" w:cs="仿宋"/>
          <w:color w:val="auto"/>
          <w:sz w:val="28"/>
          <w:szCs w:val="28"/>
        </w:rPr>
        <w:t>的增值税</w:t>
      </w:r>
      <w:r>
        <w:rPr>
          <w:rFonts w:hint="eastAsia" w:ascii="仿宋" w:hAnsi="仿宋" w:eastAsia="仿宋" w:cs="仿宋"/>
          <w:b/>
          <w:color w:val="auto"/>
          <w:sz w:val="28"/>
          <w:szCs w:val="28"/>
          <w:u w:val="single"/>
        </w:rPr>
        <w:t>专用</w:t>
      </w:r>
      <w:r>
        <w:rPr>
          <w:rFonts w:hint="eastAsia" w:ascii="仿宋" w:hAnsi="仿宋" w:eastAsia="仿宋" w:cs="仿宋"/>
          <w:color w:val="auto"/>
          <w:sz w:val="28"/>
          <w:szCs w:val="28"/>
        </w:rPr>
        <w:t>发票。</w:t>
      </w:r>
    </w:p>
    <w:p w14:paraId="054893F9">
      <w:pPr>
        <w:adjustRightInd w:val="0"/>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4. 结算及支付</w:t>
      </w:r>
    </w:p>
    <w:p w14:paraId="4C617DD0">
      <w:pPr>
        <w:adjustRightInd w:val="0"/>
        <w:snapToGrid w:val="0"/>
        <w:spacing w:line="360" w:lineRule="auto"/>
        <w:ind w:firstLine="548" w:firstLineChars="196"/>
        <w:rPr>
          <w:rFonts w:ascii="仿宋" w:hAnsi="仿宋" w:eastAsia="仿宋" w:cs="仿宋"/>
          <w:color w:val="auto"/>
          <w:sz w:val="28"/>
          <w:szCs w:val="28"/>
        </w:rPr>
      </w:pPr>
      <w:r>
        <w:rPr>
          <w:rFonts w:hint="eastAsia" w:ascii="仿宋" w:hAnsi="仿宋" w:eastAsia="仿宋" w:cs="仿宋"/>
          <w:bCs/>
          <w:color w:val="auto"/>
          <w:sz w:val="28"/>
          <w:szCs w:val="28"/>
        </w:rPr>
        <w:t xml:space="preserve">4.1 </w:t>
      </w:r>
      <w:r>
        <w:rPr>
          <w:rFonts w:hint="eastAsia" w:ascii="仿宋" w:hAnsi="仿宋" w:eastAsia="仿宋" w:cs="仿宋"/>
          <w:color w:val="auto"/>
          <w:sz w:val="28"/>
          <w:szCs w:val="28"/>
        </w:rPr>
        <w:t>本合同价款由甲方通过银行转账或其他方式支付至乙方如下账户：</w:t>
      </w:r>
    </w:p>
    <w:p w14:paraId="532483E8">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开户名称：</w:t>
      </w:r>
      <w:r>
        <w:rPr>
          <w:rFonts w:hint="eastAsia" w:ascii="仿宋" w:hAnsi="仿宋" w:eastAsia="仿宋" w:cs="仿宋"/>
          <w:color w:val="auto"/>
          <w:sz w:val="28"/>
          <w:szCs w:val="28"/>
          <w:u w:val="single"/>
        </w:rPr>
        <w:t>XXX</w:t>
      </w:r>
      <w:r>
        <w:rPr>
          <w:rFonts w:hint="eastAsia" w:ascii="仿宋" w:hAnsi="仿宋" w:eastAsia="仿宋" w:cs="仿宋"/>
          <w:color w:val="auto"/>
          <w:sz w:val="28"/>
          <w:szCs w:val="28"/>
        </w:rPr>
        <w:t>；</w:t>
      </w:r>
    </w:p>
    <w:p w14:paraId="3AE531F9">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开户银行：</w:t>
      </w:r>
      <w:r>
        <w:rPr>
          <w:rFonts w:hint="eastAsia" w:ascii="仿宋" w:hAnsi="仿宋" w:eastAsia="仿宋" w:cs="仿宋"/>
          <w:color w:val="auto"/>
          <w:sz w:val="28"/>
          <w:szCs w:val="28"/>
          <w:u w:val="single"/>
        </w:rPr>
        <w:t>XXX</w:t>
      </w:r>
      <w:r>
        <w:rPr>
          <w:rFonts w:hint="eastAsia" w:ascii="仿宋" w:hAnsi="仿宋" w:eastAsia="仿宋" w:cs="仿宋"/>
          <w:color w:val="auto"/>
          <w:sz w:val="28"/>
          <w:szCs w:val="28"/>
        </w:rPr>
        <w:t>，账号：</w:t>
      </w:r>
      <w:r>
        <w:rPr>
          <w:rFonts w:hint="eastAsia" w:ascii="仿宋" w:hAnsi="仿宋" w:eastAsia="仿宋" w:cs="仿宋"/>
          <w:color w:val="auto"/>
          <w:sz w:val="28"/>
          <w:szCs w:val="28"/>
          <w:u w:val="single"/>
        </w:rPr>
        <w:t>XXX</w:t>
      </w:r>
      <w:r>
        <w:rPr>
          <w:rFonts w:hint="eastAsia" w:ascii="仿宋" w:hAnsi="仿宋" w:eastAsia="仿宋" w:cs="仿宋"/>
          <w:color w:val="auto"/>
          <w:sz w:val="28"/>
          <w:szCs w:val="28"/>
        </w:rPr>
        <w:t>。</w:t>
      </w:r>
    </w:p>
    <w:p w14:paraId="05BAFD5E">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4.2 本合同价款的具体支付安排如下：</w:t>
      </w:r>
    </w:p>
    <w:p w14:paraId="7196C5CE">
      <w:pPr>
        <w:adjustRightInd w:val="0"/>
        <w:snapToGrid w:val="0"/>
        <w:spacing w:line="360" w:lineRule="auto"/>
        <w:ind w:firstLine="548" w:firstLineChars="196"/>
        <w:rPr>
          <w:rFonts w:ascii="仿宋" w:hAnsi="仿宋" w:eastAsia="仿宋" w:cs="仿宋"/>
          <w:color w:val="auto"/>
          <w:sz w:val="28"/>
          <w:szCs w:val="28"/>
        </w:rPr>
      </w:pPr>
      <w:r>
        <w:rPr>
          <w:rFonts w:hint="eastAsia" w:ascii="仿宋" w:hAnsi="仿宋" w:eastAsia="仿宋" w:cs="仿宋"/>
          <w:color w:val="auto"/>
          <w:sz w:val="28"/>
          <w:szCs w:val="28"/>
        </w:rPr>
        <w:t>（1）合同签订后，乙方完成现场踏勘并提交等额</w:t>
      </w:r>
      <w:r>
        <w:rPr>
          <w:rFonts w:hint="eastAsia" w:ascii="仿宋" w:hAnsi="仿宋" w:eastAsia="仿宋" w:cs="仿宋"/>
          <w:color w:val="auto"/>
          <w:sz w:val="28"/>
          <w:szCs w:val="28"/>
          <w:lang w:val="en-US" w:eastAsia="zh-CN"/>
        </w:rPr>
        <w:t>合法有效的</w:t>
      </w:r>
      <w:r>
        <w:rPr>
          <w:rFonts w:hint="eastAsia" w:ascii="仿宋" w:hAnsi="仿宋" w:eastAsia="仿宋" w:cs="仿宋"/>
          <w:color w:val="auto"/>
          <w:sz w:val="28"/>
          <w:szCs w:val="28"/>
        </w:rPr>
        <w:t>增值税专用发票后，甲方向乙方支付合同总价</w:t>
      </w:r>
      <w:r>
        <w:rPr>
          <w:rFonts w:hint="eastAsia" w:ascii="仿宋" w:hAnsi="仿宋" w:eastAsia="仿宋" w:cs="仿宋"/>
          <w:color w:val="auto"/>
          <w:sz w:val="28"/>
          <w:szCs w:val="28"/>
          <w:u w:val="single"/>
        </w:rPr>
        <w:t>20%</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服务</w:t>
      </w:r>
      <w:r>
        <w:rPr>
          <w:rFonts w:hint="eastAsia" w:ascii="仿宋" w:hAnsi="仿宋" w:eastAsia="仿宋" w:cs="仿宋"/>
          <w:color w:val="auto"/>
          <w:sz w:val="28"/>
          <w:szCs w:val="28"/>
        </w:rPr>
        <w:t>费。</w:t>
      </w:r>
    </w:p>
    <w:p w14:paraId="402F54B1">
      <w:pPr>
        <w:adjustRightInd w:val="0"/>
        <w:snapToGrid w:val="0"/>
        <w:spacing w:line="360" w:lineRule="auto"/>
        <w:ind w:firstLine="548" w:firstLineChars="196"/>
        <w:rPr>
          <w:rFonts w:ascii="仿宋" w:hAnsi="仿宋" w:eastAsia="仿宋" w:cs="仿宋"/>
          <w:color w:val="auto"/>
          <w:sz w:val="28"/>
          <w:szCs w:val="28"/>
        </w:rPr>
      </w:pPr>
      <w:r>
        <w:rPr>
          <w:rFonts w:hint="eastAsia" w:ascii="仿宋" w:hAnsi="仿宋" w:eastAsia="仿宋" w:cs="仿宋"/>
          <w:color w:val="auto"/>
          <w:sz w:val="28"/>
          <w:szCs w:val="28"/>
        </w:rPr>
        <w:t>（2）可行性研究报告经评审收口，</w:t>
      </w:r>
      <w:r>
        <w:rPr>
          <w:rFonts w:hint="eastAsia" w:ascii="仿宋" w:hAnsi="仿宋" w:eastAsia="仿宋" w:cs="仿宋"/>
          <w:color w:val="auto"/>
          <w:sz w:val="28"/>
          <w:szCs w:val="28"/>
          <w:lang w:val="en-US" w:eastAsia="zh-CN"/>
        </w:rPr>
        <w:t>专家</w:t>
      </w:r>
      <w:commentRangeStart w:id="1"/>
      <w:r>
        <w:rPr>
          <w:rFonts w:hint="eastAsia" w:ascii="仿宋" w:hAnsi="仿宋" w:eastAsia="仿宋" w:cs="仿宋"/>
          <w:color w:val="auto"/>
          <w:sz w:val="28"/>
          <w:szCs w:val="28"/>
        </w:rPr>
        <w:t>出具意见并</w:t>
      </w:r>
      <w:r>
        <w:rPr>
          <w:rFonts w:hint="eastAsia" w:ascii="仿宋" w:hAnsi="仿宋" w:eastAsia="仿宋" w:cs="仿宋"/>
          <w:color w:val="auto"/>
          <w:sz w:val="28"/>
          <w:szCs w:val="28"/>
          <w:lang w:val="en-US" w:eastAsia="zh-CN"/>
        </w:rPr>
        <w:t>由乙方</w:t>
      </w:r>
      <w:r>
        <w:rPr>
          <w:rFonts w:hint="eastAsia" w:ascii="仿宋" w:hAnsi="仿宋" w:eastAsia="仿宋" w:cs="仿宋"/>
          <w:color w:val="auto"/>
          <w:sz w:val="28"/>
          <w:szCs w:val="28"/>
        </w:rPr>
        <w:t>可研盖章</w:t>
      </w:r>
      <w:commentRangeEnd w:id="1"/>
      <w:r>
        <w:rPr>
          <w:rStyle w:val="25"/>
          <w:color w:val="auto"/>
        </w:rPr>
        <w:commentReference w:id="1"/>
      </w:r>
      <w:r>
        <w:rPr>
          <w:rFonts w:hint="eastAsia" w:ascii="仿宋" w:hAnsi="仿宋" w:eastAsia="仿宋" w:cs="仿宋"/>
          <w:color w:val="auto"/>
          <w:sz w:val="28"/>
          <w:szCs w:val="28"/>
        </w:rPr>
        <w:t>，且乙方开具等额</w:t>
      </w:r>
      <w:r>
        <w:rPr>
          <w:rFonts w:hint="eastAsia" w:ascii="仿宋" w:hAnsi="仿宋" w:eastAsia="仿宋" w:cs="仿宋"/>
          <w:color w:val="auto"/>
          <w:sz w:val="28"/>
          <w:szCs w:val="28"/>
          <w:lang w:val="en-US" w:eastAsia="zh-CN"/>
        </w:rPr>
        <w:t>合法有效的</w:t>
      </w:r>
      <w:r>
        <w:rPr>
          <w:rFonts w:hint="eastAsia" w:ascii="仿宋" w:hAnsi="仿宋" w:eastAsia="仿宋" w:cs="仿宋"/>
          <w:color w:val="auto"/>
          <w:sz w:val="28"/>
          <w:szCs w:val="28"/>
        </w:rPr>
        <w:t>增值税专用发票后，甲方向乙方支付合同总价</w:t>
      </w:r>
      <w:r>
        <w:rPr>
          <w:rFonts w:hint="eastAsia" w:ascii="仿宋" w:hAnsi="仿宋" w:eastAsia="仿宋" w:cs="仿宋"/>
          <w:color w:val="auto"/>
          <w:sz w:val="28"/>
          <w:szCs w:val="28"/>
          <w:u w:val="single"/>
        </w:rPr>
        <w:t>60%</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服务</w:t>
      </w:r>
      <w:r>
        <w:rPr>
          <w:rFonts w:hint="eastAsia" w:ascii="仿宋" w:hAnsi="仿宋" w:eastAsia="仿宋" w:cs="仿宋"/>
          <w:color w:val="auto"/>
          <w:sz w:val="28"/>
          <w:szCs w:val="28"/>
        </w:rPr>
        <w:t>费。</w:t>
      </w:r>
    </w:p>
    <w:p w14:paraId="72D0D081">
      <w:pPr>
        <w:adjustRightInd w:val="0"/>
        <w:snapToGrid w:val="0"/>
        <w:spacing w:line="360" w:lineRule="auto"/>
        <w:ind w:firstLine="548" w:firstLineChars="196"/>
        <w:rPr>
          <w:rFonts w:ascii="仿宋" w:hAnsi="仿宋" w:eastAsia="仿宋" w:cs="仿宋"/>
          <w:color w:val="auto"/>
          <w:sz w:val="28"/>
          <w:szCs w:val="28"/>
        </w:rPr>
      </w:pPr>
      <w:r>
        <w:rPr>
          <w:rFonts w:hint="eastAsia" w:ascii="仿宋" w:hAnsi="仿宋" w:eastAsia="仿宋" w:cs="仿宋"/>
          <w:color w:val="auto"/>
          <w:sz w:val="28"/>
          <w:szCs w:val="28"/>
        </w:rPr>
        <w:t>（3）完成工程图纸审查，乙方出具审查意见并由乙方开具等额</w:t>
      </w:r>
      <w:r>
        <w:rPr>
          <w:rFonts w:hint="eastAsia" w:ascii="仿宋" w:hAnsi="仿宋" w:eastAsia="仿宋" w:cs="仿宋"/>
          <w:color w:val="auto"/>
          <w:sz w:val="28"/>
          <w:szCs w:val="28"/>
          <w:lang w:val="en-US" w:eastAsia="zh-CN"/>
        </w:rPr>
        <w:t>合法有效的</w:t>
      </w:r>
      <w:r>
        <w:rPr>
          <w:rFonts w:hint="eastAsia" w:ascii="仿宋" w:hAnsi="仿宋" w:eastAsia="仿宋" w:cs="仿宋"/>
          <w:color w:val="auto"/>
          <w:sz w:val="28"/>
          <w:szCs w:val="28"/>
        </w:rPr>
        <w:t>增值税专用发票后，甲方向乙方支付合同剩余总价</w:t>
      </w:r>
      <w:r>
        <w:rPr>
          <w:rFonts w:hint="eastAsia" w:ascii="仿宋" w:hAnsi="仿宋" w:eastAsia="仿宋" w:cs="仿宋"/>
          <w:color w:val="auto"/>
          <w:sz w:val="28"/>
          <w:szCs w:val="28"/>
          <w:u w:val="single"/>
        </w:rPr>
        <w:t>20%</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服务</w:t>
      </w:r>
      <w:r>
        <w:rPr>
          <w:rFonts w:hint="eastAsia" w:ascii="仿宋" w:hAnsi="仿宋" w:eastAsia="仿宋" w:cs="仿宋"/>
          <w:color w:val="auto"/>
          <w:sz w:val="28"/>
          <w:szCs w:val="28"/>
        </w:rPr>
        <w:t>费。</w:t>
      </w:r>
    </w:p>
    <w:p w14:paraId="4FDBECA2">
      <w:pPr>
        <w:adjustRightInd w:val="0"/>
        <w:snapToGrid w:val="0"/>
        <w:spacing w:line="360" w:lineRule="auto"/>
        <w:ind w:firstLine="551" w:firstLineChars="196"/>
        <w:rPr>
          <w:rFonts w:ascii="仿宋" w:hAnsi="仿宋" w:eastAsia="仿宋" w:cs="仿宋"/>
          <w:color w:val="auto"/>
          <w:sz w:val="28"/>
          <w:szCs w:val="28"/>
        </w:rPr>
      </w:pPr>
      <w:r>
        <w:rPr>
          <w:rFonts w:hint="eastAsia" w:ascii="仿宋" w:hAnsi="仿宋" w:eastAsia="仿宋" w:cs="仿宋"/>
          <w:b/>
          <w:color w:val="auto"/>
          <w:sz w:val="28"/>
          <w:szCs w:val="28"/>
        </w:rPr>
        <w:t>5. 通知与送达</w:t>
      </w:r>
    </w:p>
    <w:p w14:paraId="4311E1C9">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5.1 本合同中涉及的各类通知、协议等文件以及就合同发生纠纷时相关文件和法律文书送达时，必须用书面形式，可采用当面送交、电子邮箱、快递或挂号信等方式传递。</w:t>
      </w:r>
    </w:p>
    <w:p w14:paraId="200FBB2E">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5.2 双方确认有效的送达地址为本合同尾部签章处所列明的联系信息。合同一方的送达地址需要变更时应当通过书面的方式向另一方进行通知。否则，由未通知方承担由此而引起的相关责任。</w:t>
      </w:r>
    </w:p>
    <w:p w14:paraId="168CA16A">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5.3 本约定作为合同中独立存在的条款，不受合同其他条款效力的影响。</w:t>
      </w:r>
    </w:p>
    <w:p w14:paraId="2C1920D9">
      <w:pPr>
        <w:adjustRightInd w:val="0"/>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6. 知识产权</w:t>
      </w:r>
    </w:p>
    <w:p w14:paraId="5B0DE74B">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6.1 在本合同履行过程中，甲方利用乙方提交的技术服务工作成果所完成的新的技术成果归甲方所有，乙方利用甲方提供的技术资料和工作条件所完成的新的技术成果归甲方所有。</w:t>
      </w:r>
    </w:p>
    <w:p w14:paraId="3F6F0682">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6.2 </w:t>
      </w:r>
      <w:r>
        <w:rPr>
          <w:rFonts w:hint="eastAsia" w:ascii="仿宋" w:hAnsi="仿宋" w:eastAsia="仿宋" w:cs="仿宋"/>
          <w:color w:val="auto"/>
          <w:kern w:val="0"/>
          <w:sz w:val="28"/>
          <w:szCs w:val="28"/>
        </w:rPr>
        <w:t>如乙方在提供服务的过程中涉及第三方知识产权，则乙方保证甲方在使用本合同工作成果的过程中免于受到第三方提出的有关知识产权侵权的主张、索赔或诉讼的伤害，否则，应承担赔偿责任。</w:t>
      </w:r>
    </w:p>
    <w:p w14:paraId="21597009">
      <w:pPr>
        <w:adjustRightInd w:val="0"/>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7. 保密</w:t>
      </w:r>
    </w:p>
    <w:p w14:paraId="7F2BD5B1">
      <w:pPr>
        <w:pStyle w:val="38"/>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7.1 合同双方应对因履行合同而取得的另一方的信息、资料（包括但不限于商业秘密、公司计划、运营活动、财务信息、技术信息、经营信息）等予以保密。未经另一方书面同意，任何一方均不得为与履行合同无关的目的使用或向第三方（双方股东等关联方除外）披露另一方提供的信息、资料。</w:t>
      </w:r>
    </w:p>
    <w:p w14:paraId="4FB1F1FE">
      <w:pPr>
        <w:autoSpaceDE w:val="0"/>
        <w:autoSpaceDN w:val="0"/>
        <w:adjustRightInd w:val="0"/>
        <w:snapToGrid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kern w:val="0"/>
          <w:sz w:val="28"/>
          <w:szCs w:val="28"/>
        </w:rPr>
        <w:t>7.2 合同双方的保密义务不适用于下列信息：非因接受信息一方的过失现在或以后进入公共领域的信息；接受信息一方当事人合法地从第三方获得并且据其善意了解第三方也不对此承担保密义务的信息；法律或法律的执行要求披露的信息。</w:t>
      </w:r>
    </w:p>
    <w:p w14:paraId="789D7F80">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7.3 保密人员范围为合同双方及本合同项目联系人和参与其中的技术人员。</w:t>
      </w:r>
    </w:p>
    <w:p w14:paraId="4D3156B9">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7.4 保密期限为合同履行期间及至保密信息正式向社会公开之日。</w:t>
      </w:r>
    </w:p>
    <w:p w14:paraId="78D8CF65">
      <w:pPr>
        <w:adjustRightInd w:val="0"/>
        <w:snapToGrid w:val="0"/>
        <w:spacing w:line="360" w:lineRule="auto"/>
        <w:ind w:firstLine="560" w:firstLineChars="200"/>
        <w:rPr>
          <w:rFonts w:ascii="仿宋" w:hAnsi="仿宋" w:eastAsia="仿宋" w:cs="仿宋"/>
          <w:b/>
          <w:color w:val="auto"/>
          <w:sz w:val="28"/>
          <w:szCs w:val="28"/>
        </w:rPr>
      </w:pPr>
      <w:r>
        <w:rPr>
          <w:rFonts w:hint="eastAsia" w:ascii="仿宋" w:hAnsi="仿宋" w:eastAsia="仿宋" w:cs="仿宋"/>
          <w:color w:val="auto"/>
          <w:sz w:val="28"/>
          <w:szCs w:val="28"/>
        </w:rPr>
        <w:t>7.5 一方因泄密造成另一方损失的，应向对方承担赔偿责任。</w:t>
      </w:r>
    </w:p>
    <w:p w14:paraId="30994DE1">
      <w:pPr>
        <w:adjustRightInd w:val="0"/>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8. 双方的权利义务</w:t>
      </w:r>
    </w:p>
    <w:p w14:paraId="044D71B5">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shd w:val="clear" w:color="auto" w:fill="FFFFFF"/>
        </w:rPr>
        <w:t>8.1 甲方应按照合同约定接受乙方的工作成果，及时支付合同价款。</w:t>
      </w:r>
    </w:p>
    <w:p w14:paraId="2A0FCC60">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8.2 </w:t>
      </w:r>
      <w:r>
        <w:rPr>
          <w:rFonts w:hint="eastAsia" w:ascii="仿宋" w:hAnsi="仿宋" w:eastAsia="仿宋" w:cs="仿宋"/>
          <w:color w:val="auto"/>
          <w:sz w:val="28"/>
          <w:szCs w:val="28"/>
          <w:shd w:val="clear" w:color="auto" w:fill="FFFFFF"/>
        </w:rPr>
        <w:t>甲方应按照合同的约定，为乙方顺利完成工作成果提供相应的基础资料和工作条件。甲方不得要求乙方违反</w:t>
      </w:r>
      <w:r>
        <w:rPr>
          <w:rFonts w:hint="eastAsia" w:ascii="仿宋" w:hAnsi="仿宋" w:eastAsia="仿宋" w:cs="仿宋"/>
          <w:color w:val="auto"/>
          <w:sz w:val="28"/>
          <w:szCs w:val="28"/>
        </w:rPr>
        <w:t>国家、地方、行业</w:t>
      </w:r>
      <w:r>
        <w:rPr>
          <w:rFonts w:hint="eastAsia" w:ascii="仿宋" w:hAnsi="仿宋" w:eastAsia="仿宋" w:cs="仿宋"/>
          <w:color w:val="auto"/>
          <w:sz w:val="28"/>
          <w:szCs w:val="28"/>
          <w:shd w:val="clear" w:color="auto" w:fill="FFFFFF"/>
        </w:rPr>
        <w:t>相关标准进行报告编制工作。</w:t>
      </w:r>
    </w:p>
    <w:p w14:paraId="3B204B61">
      <w:pPr>
        <w:adjustRightInd w:val="0"/>
        <w:snapToGrid w:val="0"/>
        <w:spacing w:line="360" w:lineRule="auto"/>
        <w:ind w:firstLine="560" w:firstLineChars="200"/>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8.3 项目推进过程中，因甲方原因导致项目返工，致使乙方工作量增加所产生的相关费用由甲方承担。</w:t>
      </w:r>
    </w:p>
    <w:p w14:paraId="60F88D2C">
      <w:pPr>
        <w:adjustRightInd w:val="0"/>
        <w:snapToGrid w:val="0"/>
        <w:spacing w:line="360" w:lineRule="auto"/>
        <w:ind w:firstLine="560" w:firstLineChars="200"/>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8.4 乙方应在合同约定的期限内完成服务项目，使其达到合同约定的要求。</w:t>
      </w:r>
    </w:p>
    <w:p w14:paraId="3A4CAF05">
      <w:pPr>
        <w:adjustRightInd w:val="0"/>
        <w:snapToGrid w:val="0"/>
        <w:spacing w:line="360" w:lineRule="auto"/>
        <w:ind w:firstLine="560" w:firstLineChars="200"/>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8.5 乙方应利用自己的技术知识和人才优势，保证工作成果符合合同约定。</w:t>
      </w:r>
    </w:p>
    <w:p w14:paraId="2AE32B15">
      <w:pPr>
        <w:adjustRightInd w:val="0"/>
        <w:snapToGrid w:val="0"/>
        <w:spacing w:line="360" w:lineRule="auto"/>
        <w:ind w:firstLine="560" w:firstLineChars="200"/>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8.6 乙方提交设计成果须符合国家、地方、行业的设计规范要求，并对提交的成果质量负责。</w:t>
      </w:r>
    </w:p>
    <w:p w14:paraId="67F89D6B">
      <w:pPr>
        <w:adjustRightInd w:val="0"/>
        <w:snapToGrid w:val="0"/>
        <w:spacing w:line="360" w:lineRule="auto"/>
        <w:ind w:firstLine="560" w:firstLineChars="200"/>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8.7未经一方同意，另一方不得将合同权利全部或部分转让给第三人，也不得全部或部分转移合同义务。</w:t>
      </w:r>
    </w:p>
    <w:p w14:paraId="47BBF513">
      <w:pPr>
        <w:adjustRightInd w:val="0"/>
        <w:snapToGrid w:val="0"/>
        <w:spacing w:line="360" w:lineRule="auto"/>
        <w:ind w:firstLine="560" w:firstLineChars="200"/>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8.8 乙方在工作过程中因自身过错而发生任何错误或遗漏，乙方应无条件更正，而不另外收取费用，并对因此而对甲方造成的损失承担赔偿责任。</w:t>
      </w:r>
    </w:p>
    <w:p w14:paraId="10B5C6A0">
      <w:pPr>
        <w:pStyle w:val="5"/>
        <w:ind w:firstLine="562" w:firstLineChars="200"/>
        <w:rPr>
          <w:rFonts w:ascii="仿宋" w:hAnsi="仿宋" w:eastAsia="仿宋" w:cs="仿宋"/>
          <w:color w:val="auto"/>
          <w:shd w:val="clear" w:color="auto" w:fill="FFFFFF"/>
        </w:rPr>
      </w:pPr>
      <w:r>
        <w:rPr>
          <w:rFonts w:hint="eastAsia" w:ascii="仿宋" w:hAnsi="仿宋" w:eastAsia="仿宋" w:cs="仿宋"/>
          <w:color w:val="auto"/>
          <w:shd w:val="clear" w:color="auto" w:fill="FFFFFF"/>
        </w:rPr>
        <w:t>9. 违约责任</w:t>
      </w:r>
    </w:p>
    <w:p w14:paraId="2891B11B">
      <w:pPr>
        <w:adjustRightInd w:val="0"/>
        <w:snapToGrid w:val="0"/>
        <w:spacing w:line="360" w:lineRule="auto"/>
        <w:ind w:firstLine="560" w:firstLineChars="200"/>
        <w:rPr>
          <w:rFonts w:ascii="仿宋" w:hAnsi="仿宋" w:eastAsia="仿宋" w:cs="仿宋"/>
          <w:color w:val="auto"/>
          <w:sz w:val="28"/>
          <w:szCs w:val="28"/>
          <w:shd w:val="clear" w:color="auto" w:fill="FFFFFF"/>
        </w:rPr>
      </w:pPr>
      <w:r>
        <w:rPr>
          <w:rFonts w:hint="eastAsia" w:ascii="仿宋" w:hAnsi="仿宋" w:eastAsia="仿宋" w:cs="仿宋"/>
          <w:color w:val="auto"/>
          <w:kern w:val="0"/>
          <w:sz w:val="28"/>
          <w:szCs w:val="28"/>
        </w:rPr>
        <w:t>9.1 合同一方不履行合同义务、履行合同义务不符合约定，应向对方承担继续履行、采取补充、修改、更换等补救措施或者赔偿损失等违约责任。</w:t>
      </w:r>
    </w:p>
    <w:p w14:paraId="78442F7F">
      <w:pPr>
        <w:adjustRightInd w:val="0"/>
        <w:snapToGrid w:val="0"/>
        <w:spacing w:line="360" w:lineRule="auto"/>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9.2 甲方应按本合同规定的金额和日期向乙方支付技术服务费，每逾期支付一天，应承担应支付金额万分之一的逾期违约金，且乙方提交技术文件的时间顺延。逾期超过30天以上时，乙方有权暂停履行下阶段工作，并书面通知甲方。</w:t>
      </w:r>
    </w:p>
    <w:p w14:paraId="6ADF2168">
      <w:pPr>
        <w:adjustRightInd w:val="0"/>
        <w:snapToGrid w:val="0"/>
        <w:spacing w:line="360" w:lineRule="auto"/>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9.3乙方逾期提交工作成果在20天（含）以内的，每逾期一日，应向甲方支付合同价款总额的千分之一逾期违约金。乙方逾期提交工作成果在20天以上的，甲方有权解除合同并不予支付合同价款，如甲方同意乙方继续履行合同的，甲方依照本条前款的约定支付合同价款。</w:t>
      </w:r>
    </w:p>
    <w:p w14:paraId="0D117FCE">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9.4在合同履行期间，甲方要求终止或解除合同，甲方应根据乙方已进行的实际工作量据实支付。</w:t>
      </w:r>
    </w:p>
    <w:p w14:paraId="7360C066">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shd w:val="clear" w:color="auto" w:fill="FFFFFF"/>
        </w:rPr>
        <w:t>9.5</w:t>
      </w:r>
      <w:r>
        <w:rPr>
          <w:rFonts w:hint="eastAsia" w:ascii="仿宋" w:hAnsi="仿宋" w:eastAsia="仿宋" w:cs="仿宋"/>
          <w:color w:val="auto"/>
          <w:sz w:val="28"/>
          <w:szCs w:val="28"/>
        </w:rPr>
        <w:t>乙方在履行合同的过程中</w:t>
      </w:r>
      <w:r>
        <w:rPr>
          <w:rFonts w:hint="eastAsia" w:ascii="仿宋" w:hAnsi="仿宋" w:eastAsia="仿宋" w:cs="仿宋"/>
          <w:color w:val="auto"/>
          <w:sz w:val="28"/>
          <w:szCs w:val="28"/>
          <w:shd w:val="clear" w:color="auto" w:fill="FFFFFF"/>
        </w:rPr>
        <w:t>发现继续工作对样品、材料或者设备等有损坏危险时，应当中止工作，并及时通知甲方或者提出建议，否则，因此而给甲方造成损失的，乙方应承担赔偿责任。甲方按照乙方完成的工作成果作出决策并予以实施所造成的损失，乙方应承担全部责任。</w:t>
      </w:r>
    </w:p>
    <w:p w14:paraId="61C1FC98">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9.6 乙方提交的工作成果不符合本合同第1条约定的，经甲方书面催告，乙方应在限期内采取补救措施。</w:t>
      </w:r>
    </w:p>
    <w:p w14:paraId="6A043081">
      <w:pPr>
        <w:adjustRightInd w:val="0"/>
        <w:snapToGrid w:val="0"/>
        <w:spacing w:line="360" w:lineRule="auto"/>
        <w:ind w:firstLine="562" w:firstLineChars="200"/>
        <w:rPr>
          <w:rFonts w:ascii="仿宋" w:hAnsi="仿宋" w:eastAsia="仿宋" w:cs="仿宋"/>
          <w:color w:val="auto"/>
          <w:sz w:val="28"/>
          <w:szCs w:val="28"/>
        </w:rPr>
      </w:pPr>
      <w:r>
        <w:rPr>
          <w:rFonts w:hint="eastAsia" w:ascii="仿宋" w:hAnsi="仿宋" w:eastAsia="仿宋" w:cs="仿宋"/>
          <w:b/>
          <w:color w:val="auto"/>
          <w:sz w:val="28"/>
          <w:szCs w:val="28"/>
        </w:rPr>
        <w:t>10．合同的变更与解除</w:t>
      </w:r>
    </w:p>
    <w:p w14:paraId="3DC5A42C">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10.1 本合同的变更必须由双方协商一致，并以书面形式确定。</w:t>
      </w:r>
    </w:p>
    <w:p w14:paraId="6238079F">
      <w:pPr>
        <w:pStyle w:val="5"/>
        <w:ind w:firstLine="560" w:firstLineChars="200"/>
        <w:rPr>
          <w:rFonts w:ascii="仿宋" w:hAnsi="仿宋" w:eastAsia="仿宋" w:cs="仿宋"/>
          <w:b w:val="0"/>
          <w:bCs w:val="0"/>
          <w:color w:val="auto"/>
        </w:rPr>
      </w:pPr>
      <w:r>
        <w:rPr>
          <w:rFonts w:hint="eastAsia" w:ascii="仿宋" w:hAnsi="仿宋" w:eastAsia="仿宋" w:cs="仿宋"/>
          <w:b w:val="0"/>
          <w:bCs w:val="0"/>
          <w:color w:val="auto"/>
        </w:rPr>
        <w:t>10.2 因甲方原因造成工作成果的重大修改，或返工重做，应另行增加费用，其数额由双方当事人另行商定，同时，提交成果的时间相应调整。</w:t>
      </w:r>
    </w:p>
    <w:p w14:paraId="1A893E39">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10.3 </w:t>
      </w:r>
      <w:r>
        <w:rPr>
          <w:rFonts w:hint="eastAsia" w:ascii="仿宋" w:hAnsi="仿宋" w:eastAsia="仿宋" w:cs="仿宋"/>
          <w:color w:val="auto"/>
          <w:kern w:val="0"/>
          <w:sz w:val="28"/>
          <w:szCs w:val="28"/>
        </w:rPr>
        <w:t>有下述情形之一，甲方可以发出书面通知全部或部分地解除合同，合同自通知到达对方时全部或部分地解除：</w:t>
      </w:r>
    </w:p>
    <w:p w14:paraId="1E24D3EC">
      <w:pPr>
        <w:adjustRightInd w:val="0"/>
        <w:snapToGrid w:val="0"/>
        <w:spacing w:line="360" w:lineRule="auto"/>
        <w:ind w:firstLine="420" w:firstLineChars="150"/>
        <w:rPr>
          <w:rFonts w:ascii="仿宋" w:hAnsi="仿宋" w:eastAsia="仿宋" w:cs="仿宋"/>
          <w:color w:val="auto"/>
          <w:sz w:val="28"/>
          <w:szCs w:val="28"/>
        </w:rPr>
      </w:pPr>
      <w:r>
        <w:rPr>
          <w:rFonts w:hint="eastAsia" w:ascii="仿宋" w:hAnsi="仿宋" w:eastAsia="仿宋" w:cs="仿宋"/>
          <w:color w:val="auto"/>
          <w:sz w:val="28"/>
          <w:szCs w:val="28"/>
        </w:rPr>
        <w:t>（1）根据第9.6条的约定，乙方明确表示不愿采取补救措施或采取补救措施后仍不符合第1条约定的；</w:t>
      </w:r>
    </w:p>
    <w:p w14:paraId="05E2B597">
      <w:pPr>
        <w:adjustRightInd w:val="0"/>
        <w:snapToGrid w:val="0"/>
        <w:spacing w:line="360" w:lineRule="auto"/>
        <w:ind w:firstLine="420" w:firstLineChars="150"/>
        <w:rPr>
          <w:rFonts w:ascii="仿宋" w:hAnsi="仿宋" w:eastAsia="仿宋" w:cs="仿宋"/>
          <w:color w:val="auto"/>
          <w:sz w:val="28"/>
          <w:szCs w:val="28"/>
        </w:rPr>
      </w:pPr>
      <w:r>
        <w:rPr>
          <w:rFonts w:hint="eastAsia" w:ascii="仿宋" w:hAnsi="仿宋" w:eastAsia="仿宋" w:cs="仿宋"/>
          <w:color w:val="auto"/>
          <w:sz w:val="28"/>
          <w:szCs w:val="28"/>
        </w:rPr>
        <w:t>（2）乙方恶意不提供工作成果，或者所提供的工作成果水平明显低劣，无参考价值的；</w:t>
      </w:r>
    </w:p>
    <w:p w14:paraId="655D25D0">
      <w:pPr>
        <w:adjustRightInd w:val="0"/>
        <w:snapToGrid w:val="0"/>
        <w:spacing w:line="360" w:lineRule="auto"/>
        <w:ind w:firstLine="420" w:firstLineChars="150"/>
        <w:rPr>
          <w:rFonts w:ascii="仿宋" w:hAnsi="仿宋" w:eastAsia="仿宋" w:cs="仿宋"/>
          <w:color w:val="auto"/>
          <w:sz w:val="28"/>
          <w:szCs w:val="28"/>
        </w:rPr>
      </w:pPr>
      <w:r>
        <w:rPr>
          <w:rFonts w:hint="eastAsia" w:ascii="仿宋" w:hAnsi="仿宋" w:eastAsia="仿宋" w:cs="仿宋"/>
          <w:color w:val="auto"/>
          <w:sz w:val="28"/>
          <w:szCs w:val="28"/>
        </w:rPr>
        <w:t>（3）合同签订时所依据的客观情况发生重大变化至使合同无法履行，经双方协商，可解除或终止合同。</w:t>
      </w:r>
    </w:p>
    <w:p w14:paraId="41809319">
      <w:pPr>
        <w:adjustRightInd w:val="0"/>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11. 不可抗力</w:t>
      </w:r>
    </w:p>
    <w:p w14:paraId="7C980D8E">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11.1 如果任何一方受到不能预见、不能避免且不能克服的不可抗力事件的影响，例如战争、严重的火灾、台风、地震、洪水、疫情等其他情形，而无法履行合同项下的任何义务，则受影响的一方应立即将此类事件的发生通知另一方，并应在不可抗力事件发生后7日内将有关当局或机构出具的证明文件提交给另一方。</w:t>
      </w:r>
    </w:p>
    <w:p w14:paraId="704CFADE">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11.2 受不可抗力事件影响的一方对于不可抗力事件导致的任何合同义务的迟延履行或不能履行不承担违约责任（</w:t>
      </w:r>
      <w:r>
        <w:rPr>
          <w:rFonts w:hint="eastAsia" w:ascii="仿宋" w:hAnsi="仿宋" w:eastAsia="仿宋" w:cs="仿宋"/>
          <w:color w:val="auto"/>
          <w:sz w:val="28"/>
          <w:szCs w:val="28"/>
        </w:rPr>
        <w:t>迟延履行后发生不可抗力事件的，不能免除责任</w:t>
      </w:r>
      <w:r>
        <w:rPr>
          <w:rFonts w:hint="eastAsia" w:ascii="仿宋" w:hAnsi="仿宋" w:eastAsia="仿宋" w:cs="仿宋"/>
          <w:color w:val="auto"/>
          <w:kern w:val="0"/>
          <w:sz w:val="28"/>
          <w:szCs w:val="28"/>
        </w:rPr>
        <w:t>）</w:t>
      </w:r>
      <w:r>
        <w:rPr>
          <w:rFonts w:hint="eastAsia" w:ascii="仿宋" w:hAnsi="仿宋" w:eastAsia="仿宋" w:cs="仿宋"/>
          <w:color w:val="auto"/>
          <w:sz w:val="28"/>
          <w:szCs w:val="28"/>
        </w:rPr>
        <w:t>。</w:t>
      </w:r>
      <w:r>
        <w:rPr>
          <w:rFonts w:hint="eastAsia" w:ascii="仿宋" w:hAnsi="仿宋" w:eastAsia="仿宋" w:cs="仿宋"/>
          <w:color w:val="auto"/>
          <w:kern w:val="0"/>
          <w:sz w:val="28"/>
          <w:szCs w:val="28"/>
        </w:rPr>
        <w:t>但该方应尽快将不可抗力事件结束或消除的情况通知另一方。</w:t>
      </w:r>
    </w:p>
    <w:p w14:paraId="54410145">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11.3 双方应在不可抗力事件结束或其影响消除后立即继续履行其合同义务，合同期限也应相应顺延。</w:t>
      </w:r>
    </w:p>
    <w:p w14:paraId="5CDAA030">
      <w:pPr>
        <w:pStyle w:val="38"/>
        <w:snapToGrid w:val="0"/>
        <w:spacing w:line="360" w:lineRule="auto"/>
        <w:ind w:firstLine="562" w:firstLineChars="200"/>
        <w:rPr>
          <w:rFonts w:ascii="仿宋" w:hAnsi="仿宋" w:eastAsia="仿宋" w:cs="仿宋"/>
          <w:b/>
          <w:color w:val="auto"/>
          <w:kern w:val="2"/>
          <w:sz w:val="28"/>
          <w:szCs w:val="28"/>
        </w:rPr>
      </w:pPr>
      <w:r>
        <w:rPr>
          <w:rFonts w:hint="eastAsia" w:ascii="仿宋" w:hAnsi="仿宋" w:eastAsia="仿宋" w:cs="仿宋"/>
          <w:b/>
          <w:color w:val="auto"/>
          <w:kern w:val="2"/>
          <w:sz w:val="28"/>
          <w:szCs w:val="28"/>
        </w:rPr>
        <w:t>12. 其他</w:t>
      </w:r>
    </w:p>
    <w:p w14:paraId="4A402F66">
      <w:pPr>
        <w:pStyle w:val="38"/>
        <w:snapToGrid w:val="0"/>
        <w:spacing w:line="360" w:lineRule="auto"/>
        <w:ind w:firstLine="560" w:firstLineChars="200"/>
        <w:rPr>
          <w:rFonts w:ascii="仿宋" w:hAnsi="仿宋" w:eastAsia="仿宋" w:cs="仿宋"/>
          <w:color w:val="auto"/>
          <w:kern w:val="2"/>
          <w:sz w:val="28"/>
          <w:szCs w:val="28"/>
        </w:rPr>
      </w:pPr>
      <w:r>
        <w:rPr>
          <w:rFonts w:hint="eastAsia" w:ascii="仿宋" w:hAnsi="仿宋" w:eastAsia="仿宋" w:cs="仿宋"/>
          <w:color w:val="auto"/>
          <w:kern w:val="2"/>
          <w:sz w:val="28"/>
          <w:szCs w:val="28"/>
        </w:rPr>
        <w:t>12.1 本合同项下发生的争议，由双方当事人协商解决；协商不成的，依法向甲方所在地人民法院起诉。</w:t>
      </w:r>
    </w:p>
    <w:p w14:paraId="1B672D5B">
      <w:pPr>
        <w:pStyle w:val="38"/>
        <w:snapToGrid w:val="0"/>
        <w:spacing w:line="360" w:lineRule="auto"/>
        <w:ind w:firstLine="560" w:firstLineChars="200"/>
        <w:rPr>
          <w:rFonts w:ascii="仿宋" w:hAnsi="仿宋" w:eastAsia="仿宋" w:cs="仿宋"/>
          <w:color w:val="auto"/>
          <w:kern w:val="2"/>
          <w:sz w:val="28"/>
          <w:szCs w:val="28"/>
        </w:rPr>
      </w:pPr>
      <w:r>
        <w:rPr>
          <w:rFonts w:hint="eastAsia" w:ascii="仿宋" w:hAnsi="仿宋" w:eastAsia="仿宋" w:cs="仿宋"/>
          <w:color w:val="auto"/>
          <w:kern w:val="2"/>
          <w:sz w:val="28"/>
          <w:szCs w:val="28"/>
        </w:rPr>
        <w:t>12.2 本合同壹式</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肆</w:t>
      </w:r>
      <w:r>
        <w:rPr>
          <w:rFonts w:hint="eastAsia" w:ascii="仿宋" w:hAnsi="仿宋" w:eastAsia="仿宋" w:cs="仿宋"/>
          <w:color w:val="auto"/>
          <w:sz w:val="28"/>
          <w:szCs w:val="28"/>
        </w:rPr>
        <w:t>】</w:t>
      </w:r>
      <w:r>
        <w:rPr>
          <w:rFonts w:hint="eastAsia" w:ascii="仿宋" w:hAnsi="仿宋" w:eastAsia="仿宋" w:cs="仿宋"/>
          <w:color w:val="auto"/>
          <w:kern w:val="2"/>
          <w:sz w:val="28"/>
          <w:szCs w:val="28"/>
        </w:rPr>
        <w:t>份，双方各执</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贰</w:t>
      </w:r>
      <w:r>
        <w:rPr>
          <w:rFonts w:hint="eastAsia" w:ascii="仿宋" w:hAnsi="仿宋" w:eastAsia="仿宋" w:cs="仿宋"/>
          <w:color w:val="auto"/>
          <w:sz w:val="28"/>
          <w:szCs w:val="28"/>
        </w:rPr>
        <w:t>】</w:t>
      </w:r>
      <w:r>
        <w:rPr>
          <w:rFonts w:hint="eastAsia" w:ascii="仿宋" w:hAnsi="仿宋" w:eastAsia="仿宋" w:cs="仿宋"/>
          <w:color w:val="auto"/>
          <w:kern w:val="2"/>
          <w:sz w:val="28"/>
          <w:szCs w:val="28"/>
        </w:rPr>
        <w:t>份，经双方的法定代表人（或授权代表）签字且加盖单位公章后生效。</w:t>
      </w:r>
    </w:p>
    <w:p w14:paraId="6043B29B">
      <w:pPr>
        <w:pStyle w:val="38"/>
        <w:snapToGrid w:val="0"/>
        <w:spacing w:line="460" w:lineRule="exact"/>
        <w:rPr>
          <w:rFonts w:ascii="仿宋" w:hAnsi="仿宋" w:eastAsia="仿宋" w:cs="仿宋"/>
          <w:color w:val="auto"/>
          <w:kern w:val="2"/>
          <w:sz w:val="28"/>
          <w:szCs w:val="28"/>
        </w:rPr>
      </w:pPr>
    </w:p>
    <w:p w14:paraId="2027C724">
      <w:pPr>
        <w:pStyle w:val="38"/>
        <w:snapToGrid w:val="0"/>
        <w:spacing w:line="460" w:lineRule="exact"/>
        <w:ind w:firstLine="560" w:firstLineChars="200"/>
        <w:rPr>
          <w:rFonts w:ascii="仿宋" w:hAnsi="仿宋" w:eastAsia="仿宋" w:cs="仿宋"/>
          <w:color w:val="auto"/>
          <w:kern w:val="2"/>
          <w:sz w:val="28"/>
          <w:szCs w:val="28"/>
        </w:rPr>
      </w:pPr>
      <w:r>
        <w:rPr>
          <w:rFonts w:hint="eastAsia" w:ascii="仿宋" w:hAnsi="仿宋" w:eastAsia="仿宋" w:cs="仿宋"/>
          <w:color w:val="auto"/>
          <w:kern w:val="2"/>
          <w:sz w:val="28"/>
          <w:szCs w:val="28"/>
        </w:rPr>
        <w:t>本页以下无正文，为签字页。</w:t>
      </w:r>
    </w:p>
    <w:p w14:paraId="310F79F5">
      <w:pPr>
        <w:pStyle w:val="38"/>
        <w:snapToGrid w:val="0"/>
        <w:spacing w:line="460" w:lineRule="exact"/>
        <w:rPr>
          <w:rFonts w:ascii="宋体" w:hAnsi="宋体" w:eastAsia="宋体"/>
          <w:color w:val="auto"/>
          <w:kern w:val="2"/>
          <w:sz w:val="21"/>
          <w:szCs w:val="21"/>
        </w:rPr>
      </w:pPr>
    </w:p>
    <w:tbl>
      <w:tblPr>
        <w:tblStyle w:val="21"/>
        <w:tblW w:w="9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87"/>
        <w:gridCol w:w="4587"/>
      </w:tblGrid>
      <w:tr w14:paraId="616CC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87" w:type="dxa"/>
          </w:tcPr>
          <w:p w14:paraId="39C68997">
            <w:pPr>
              <w:pStyle w:val="38"/>
              <w:snapToGrid w:val="0"/>
              <w:spacing w:line="460" w:lineRule="exact"/>
              <w:jc w:val="both"/>
              <w:rPr>
                <w:rFonts w:ascii="仿宋" w:hAnsi="仿宋" w:eastAsia="仿宋" w:cs="仿宋"/>
                <w:b/>
                <w:color w:val="auto"/>
                <w:sz w:val="28"/>
                <w:szCs w:val="28"/>
              </w:rPr>
            </w:pPr>
            <w:r>
              <w:rPr>
                <w:rFonts w:hint="eastAsia" w:ascii="仿宋" w:hAnsi="仿宋" w:eastAsia="仿宋" w:cs="仿宋"/>
                <w:b/>
                <w:color w:val="auto"/>
                <w:sz w:val="28"/>
                <w:szCs w:val="28"/>
              </w:rPr>
              <w:t>委托方（甲方）:</w:t>
            </w:r>
            <w:r>
              <w:rPr>
                <w:rFonts w:hint="eastAsia" w:ascii="仿宋" w:hAnsi="仿宋" w:eastAsia="仿宋" w:cs="仿宋"/>
                <w:color w:val="auto"/>
                <w:sz w:val="28"/>
                <w:szCs w:val="28"/>
              </w:rPr>
              <w:t>（签章）</w:t>
            </w:r>
          </w:p>
        </w:tc>
        <w:tc>
          <w:tcPr>
            <w:tcW w:w="4587" w:type="dxa"/>
          </w:tcPr>
          <w:p w14:paraId="10993AAD">
            <w:pPr>
              <w:pStyle w:val="38"/>
              <w:snapToGrid w:val="0"/>
              <w:spacing w:line="460" w:lineRule="exact"/>
              <w:jc w:val="both"/>
              <w:rPr>
                <w:rFonts w:ascii="仿宋" w:hAnsi="仿宋" w:eastAsia="仿宋" w:cs="仿宋"/>
                <w:b/>
                <w:color w:val="auto"/>
                <w:sz w:val="28"/>
                <w:szCs w:val="28"/>
              </w:rPr>
            </w:pPr>
            <w:r>
              <w:rPr>
                <w:rFonts w:hint="eastAsia" w:ascii="仿宋" w:hAnsi="仿宋" w:eastAsia="仿宋" w:cs="仿宋"/>
                <w:b/>
                <w:color w:val="auto"/>
                <w:sz w:val="28"/>
                <w:szCs w:val="28"/>
              </w:rPr>
              <w:t>受托方（乙方）:</w:t>
            </w:r>
            <w:r>
              <w:rPr>
                <w:rFonts w:hint="eastAsia" w:ascii="仿宋" w:hAnsi="仿宋" w:eastAsia="仿宋" w:cs="仿宋"/>
                <w:color w:val="auto"/>
                <w:sz w:val="28"/>
                <w:szCs w:val="28"/>
              </w:rPr>
              <w:t>（签章）</w:t>
            </w:r>
          </w:p>
        </w:tc>
      </w:tr>
      <w:tr w14:paraId="503B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87" w:type="dxa"/>
          </w:tcPr>
          <w:p w14:paraId="258E42F6">
            <w:pPr>
              <w:adjustRightInd w:val="0"/>
              <w:snapToGrid w:val="0"/>
              <w:spacing w:line="460" w:lineRule="exact"/>
              <w:rPr>
                <w:rFonts w:ascii="仿宋" w:hAnsi="仿宋" w:eastAsia="仿宋" w:cs="仿宋"/>
                <w:b/>
                <w:color w:val="auto"/>
                <w:kern w:val="0"/>
                <w:sz w:val="28"/>
                <w:szCs w:val="28"/>
              </w:rPr>
            </w:pPr>
          </w:p>
        </w:tc>
        <w:tc>
          <w:tcPr>
            <w:tcW w:w="4587" w:type="dxa"/>
          </w:tcPr>
          <w:p w14:paraId="5DAB8C7D">
            <w:pPr>
              <w:pStyle w:val="38"/>
              <w:snapToGrid w:val="0"/>
              <w:spacing w:line="460" w:lineRule="exact"/>
              <w:jc w:val="both"/>
              <w:rPr>
                <w:rFonts w:ascii="仿宋" w:hAnsi="仿宋" w:eastAsia="仿宋" w:cs="仿宋"/>
                <w:b/>
                <w:color w:val="auto"/>
                <w:sz w:val="28"/>
                <w:szCs w:val="28"/>
              </w:rPr>
            </w:pPr>
          </w:p>
          <w:p w14:paraId="19398F4C">
            <w:pPr>
              <w:pStyle w:val="38"/>
              <w:snapToGrid w:val="0"/>
              <w:spacing w:line="460" w:lineRule="exact"/>
              <w:jc w:val="both"/>
              <w:rPr>
                <w:rFonts w:ascii="仿宋" w:hAnsi="仿宋" w:eastAsia="仿宋" w:cs="仿宋"/>
                <w:b/>
                <w:color w:val="auto"/>
                <w:sz w:val="28"/>
                <w:szCs w:val="28"/>
              </w:rPr>
            </w:pPr>
          </w:p>
        </w:tc>
      </w:tr>
      <w:tr w14:paraId="7EBBD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87" w:type="dxa"/>
          </w:tcPr>
          <w:p w14:paraId="07969649">
            <w:pPr>
              <w:pStyle w:val="38"/>
              <w:snapToGrid w:val="0"/>
              <w:spacing w:line="460" w:lineRule="exact"/>
              <w:jc w:val="both"/>
              <w:rPr>
                <w:rFonts w:ascii="仿宋" w:hAnsi="仿宋" w:eastAsia="仿宋" w:cs="仿宋"/>
                <w:b/>
                <w:color w:val="auto"/>
                <w:sz w:val="28"/>
                <w:szCs w:val="28"/>
              </w:rPr>
            </w:pPr>
            <w:r>
              <w:rPr>
                <w:rFonts w:hint="eastAsia" w:ascii="仿宋" w:hAnsi="仿宋" w:eastAsia="仿宋" w:cs="仿宋"/>
                <w:color w:val="auto"/>
                <w:sz w:val="28"/>
                <w:szCs w:val="28"/>
              </w:rPr>
              <w:t>法定代表人（单位负责人）:</w:t>
            </w:r>
          </w:p>
        </w:tc>
        <w:tc>
          <w:tcPr>
            <w:tcW w:w="4587" w:type="dxa"/>
          </w:tcPr>
          <w:p w14:paraId="37101329">
            <w:pPr>
              <w:pStyle w:val="38"/>
              <w:snapToGrid w:val="0"/>
              <w:spacing w:line="460" w:lineRule="exact"/>
              <w:jc w:val="both"/>
              <w:rPr>
                <w:rFonts w:ascii="仿宋" w:hAnsi="仿宋" w:eastAsia="仿宋" w:cs="仿宋"/>
                <w:b/>
                <w:color w:val="auto"/>
                <w:sz w:val="28"/>
                <w:szCs w:val="28"/>
              </w:rPr>
            </w:pPr>
            <w:r>
              <w:rPr>
                <w:rFonts w:hint="eastAsia" w:ascii="仿宋" w:hAnsi="仿宋" w:eastAsia="仿宋" w:cs="仿宋"/>
                <w:color w:val="auto"/>
                <w:sz w:val="28"/>
                <w:szCs w:val="28"/>
              </w:rPr>
              <w:t>法定代表人（单位负责人）:</w:t>
            </w:r>
          </w:p>
        </w:tc>
      </w:tr>
      <w:tr w14:paraId="1929F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87" w:type="dxa"/>
          </w:tcPr>
          <w:p w14:paraId="08639ABE">
            <w:pPr>
              <w:pStyle w:val="38"/>
              <w:snapToGrid w:val="0"/>
              <w:spacing w:line="460" w:lineRule="exact"/>
              <w:jc w:val="both"/>
              <w:rPr>
                <w:rFonts w:ascii="仿宋" w:hAnsi="仿宋" w:eastAsia="仿宋" w:cs="仿宋"/>
                <w:b/>
                <w:color w:val="auto"/>
                <w:sz w:val="28"/>
                <w:szCs w:val="28"/>
              </w:rPr>
            </w:pPr>
            <w:r>
              <w:rPr>
                <w:rFonts w:hint="eastAsia" w:ascii="仿宋" w:hAnsi="仿宋" w:eastAsia="仿宋" w:cs="仿宋"/>
                <w:color w:val="auto"/>
                <w:sz w:val="28"/>
                <w:szCs w:val="28"/>
              </w:rPr>
              <w:t>或授权代表:</w:t>
            </w:r>
          </w:p>
        </w:tc>
        <w:tc>
          <w:tcPr>
            <w:tcW w:w="4587" w:type="dxa"/>
          </w:tcPr>
          <w:p w14:paraId="70341581">
            <w:pPr>
              <w:pStyle w:val="38"/>
              <w:snapToGrid w:val="0"/>
              <w:spacing w:line="460" w:lineRule="exact"/>
              <w:jc w:val="both"/>
              <w:rPr>
                <w:rFonts w:ascii="仿宋" w:hAnsi="仿宋" w:eastAsia="仿宋" w:cs="仿宋"/>
                <w:b/>
                <w:color w:val="auto"/>
                <w:sz w:val="28"/>
                <w:szCs w:val="28"/>
              </w:rPr>
            </w:pPr>
            <w:r>
              <w:rPr>
                <w:rFonts w:hint="eastAsia" w:ascii="仿宋" w:hAnsi="仿宋" w:eastAsia="仿宋" w:cs="仿宋"/>
                <w:color w:val="auto"/>
                <w:sz w:val="28"/>
                <w:szCs w:val="28"/>
              </w:rPr>
              <w:t>或授权代表:</w:t>
            </w:r>
          </w:p>
        </w:tc>
      </w:tr>
      <w:tr w14:paraId="27C1C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87" w:type="dxa"/>
          </w:tcPr>
          <w:p w14:paraId="79C35C7E">
            <w:pPr>
              <w:pStyle w:val="38"/>
              <w:snapToGrid w:val="0"/>
              <w:spacing w:line="460" w:lineRule="exact"/>
              <w:jc w:val="both"/>
              <w:rPr>
                <w:rFonts w:ascii="仿宋" w:hAnsi="仿宋" w:eastAsia="仿宋" w:cs="仿宋"/>
                <w:b/>
                <w:color w:val="auto"/>
                <w:sz w:val="28"/>
                <w:szCs w:val="28"/>
              </w:rPr>
            </w:pPr>
          </w:p>
        </w:tc>
        <w:tc>
          <w:tcPr>
            <w:tcW w:w="4587" w:type="dxa"/>
          </w:tcPr>
          <w:p w14:paraId="56C03BC4">
            <w:pPr>
              <w:pStyle w:val="38"/>
              <w:snapToGrid w:val="0"/>
              <w:spacing w:line="460" w:lineRule="exact"/>
              <w:jc w:val="both"/>
              <w:rPr>
                <w:rFonts w:ascii="仿宋" w:hAnsi="仿宋" w:eastAsia="仿宋" w:cs="仿宋"/>
                <w:b/>
                <w:color w:val="auto"/>
                <w:sz w:val="28"/>
                <w:szCs w:val="28"/>
              </w:rPr>
            </w:pPr>
          </w:p>
        </w:tc>
      </w:tr>
      <w:tr w14:paraId="34471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587" w:type="dxa"/>
          </w:tcPr>
          <w:p w14:paraId="4F12D4BB">
            <w:pPr>
              <w:pStyle w:val="38"/>
              <w:snapToGrid w:val="0"/>
              <w:spacing w:line="460" w:lineRule="exact"/>
              <w:jc w:val="both"/>
              <w:rPr>
                <w:rFonts w:ascii="仿宋" w:hAnsi="仿宋" w:eastAsia="仿宋" w:cs="仿宋"/>
                <w:b/>
                <w:color w:val="auto"/>
                <w:sz w:val="28"/>
                <w:szCs w:val="28"/>
              </w:rPr>
            </w:pPr>
            <w:r>
              <w:rPr>
                <w:rFonts w:hint="eastAsia" w:ascii="仿宋" w:hAnsi="仿宋" w:eastAsia="仿宋" w:cs="仿宋"/>
                <w:color w:val="auto"/>
                <w:sz w:val="28"/>
                <w:szCs w:val="28"/>
              </w:rPr>
              <w:t>联系人及电话:</w:t>
            </w:r>
          </w:p>
        </w:tc>
        <w:tc>
          <w:tcPr>
            <w:tcW w:w="4587" w:type="dxa"/>
          </w:tcPr>
          <w:p w14:paraId="2077F037">
            <w:pPr>
              <w:pStyle w:val="38"/>
              <w:snapToGrid w:val="0"/>
              <w:spacing w:line="460" w:lineRule="exact"/>
              <w:jc w:val="both"/>
              <w:rPr>
                <w:rFonts w:ascii="仿宋" w:hAnsi="仿宋" w:eastAsia="仿宋" w:cs="仿宋"/>
                <w:b/>
                <w:color w:val="auto"/>
                <w:sz w:val="28"/>
                <w:szCs w:val="28"/>
              </w:rPr>
            </w:pPr>
            <w:r>
              <w:rPr>
                <w:rFonts w:hint="eastAsia" w:ascii="仿宋" w:hAnsi="仿宋" w:eastAsia="仿宋" w:cs="仿宋"/>
                <w:color w:val="auto"/>
                <w:sz w:val="28"/>
                <w:szCs w:val="28"/>
              </w:rPr>
              <w:t>联系人及电话:</w:t>
            </w:r>
          </w:p>
        </w:tc>
      </w:tr>
      <w:tr w14:paraId="16E59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87" w:type="dxa"/>
          </w:tcPr>
          <w:p w14:paraId="27823B30">
            <w:pPr>
              <w:pStyle w:val="38"/>
              <w:snapToGrid w:val="0"/>
              <w:spacing w:line="460" w:lineRule="exact"/>
              <w:jc w:val="both"/>
              <w:rPr>
                <w:rFonts w:ascii="仿宋" w:hAnsi="仿宋" w:eastAsia="仿宋" w:cs="仿宋"/>
                <w:color w:val="auto"/>
                <w:sz w:val="28"/>
                <w:szCs w:val="28"/>
              </w:rPr>
            </w:pPr>
            <w:r>
              <w:rPr>
                <w:rFonts w:hint="eastAsia" w:ascii="仿宋" w:hAnsi="仿宋" w:eastAsia="仿宋" w:cs="仿宋"/>
                <w:color w:val="auto"/>
                <w:sz w:val="28"/>
                <w:szCs w:val="28"/>
              </w:rPr>
              <w:t xml:space="preserve">通讯地址: </w:t>
            </w:r>
            <w:r>
              <w:rPr>
                <w:rFonts w:hint="eastAsia" w:eastAsia="宋体"/>
                <w:color w:val="auto"/>
                <w:sz w:val="30"/>
                <w:szCs w:val="30"/>
              </w:rPr>
              <w:t xml:space="preserve">  </w:t>
            </w:r>
          </w:p>
        </w:tc>
        <w:tc>
          <w:tcPr>
            <w:tcW w:w="4587" w:type="dxa"/>
          </w:tcPr>
          <w:p w14:paraId="4A256020">
            <w:pPr>
              <w:pStyle w:val="38"/>
              <w:snapToGrid w:val="0"/>
              <w:spacing w:line="460" w:lineRule="exact"/>
              <w:jc w:val="both"/>
              <w:rPr>
                <w:rFonts w:ascii="仿宋" w:hAnsi="仿宋" w:eastAsia="仿宋" w:cs="仿宋"/>
                <w:b/>
                <w:color w:val="auto"/>
                <w:sz w:val="28"/>
                <w:szCs w:val="28"/>
              </w:rPr>
            </w:pPr>
            <w:r>
              <w:rPr>
                <w:rFonts w:hint="eastAsia" w:ascii="仿宋" w:hAnsi="仿宋" w:eastAsia="仿宋" w:cs="仿宋"/>
                <w:color w:val="auto"/>
                <w:sz w:val="28"/>
                <w:szCs w:val="28"/>
              </w:rPr>
              <w:t>通讯地址:</w:t>
            </w:r>
          </w:p>
        </w:tc>
      </w:tr>
      <w:tr w14:paraId="483A1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87" w:type="dxa"/>
          </w:tcPr>
          <w:p w14:paraId="00829DC8">
            <w:pPr>
              <w:pStyle w:val="38"/>
              <w:snapToGrid w:val="0"/>
              <w:spacing w:line="460" w:lineRule="exact"/>
              <w:jc w:val="both"/>
              <w:rPr>
                <w:rFonts w:ascii="仿宋" w:hAnsi="仿宋" w:eastAsia="仿宋" w:cs="仿宋"/>
                <w:b/>
                <w:color w:val="auto"/>
                <w:sz w:val="28"/>
                <w:szCs w:val="28"/>
              </w:rPr>
            </w:pPr>
            <w:r>
              <w:rPr>
                <w:rFonts w:hint="eastAsia" w:ascii="仿宋" w:hAnsi="仿宋" w:eastAsia="仿宋" w:cs="仿宋"/>
                <w:color w:val="auto"/>
                <w:sz w:val="28"/>
                <w:szCs w:val="28"/>
              </w:rPr>
              <w:t>签署日期:</w:t>
            </w:r>
            <w:r>
              <w:rPr>
                <w:rFonts w:hint="eastAsia" w:ascii="仿宋" w:hAnsi="仿宋" w:eastAsia="仿宋" w:cs="仿宋"/>
                <w:color w:val="auto"/>
                <w:sz w:val="28"/>
                <w:szCs w:val="28"/>
                <w:u w:val="single"/>
              </w:rPr>
              <w:t xml:space="preserve">              </w:t>
            </w:r>
          </w:p>
        </w:tc>
        <w:tc>
          <w:tcPr>
            <w:tcW w:w="4587" w:type="dxa"/>
          </w:tcPr>
          <w:p w14:paraId="2DEBC039">
            <w:pPr>
              <w:pStyle w:val="38"/>
              <w:snapToGrid w:val="0"/>
              <w:spacing w:line="460" w:lineRule="exact"/>
              <w:jc w:val="both"/>
              <w:rPr>
                <w:rFonts w:ascii="仿宋" w:hAnsi="仿宋" w:eastAsia="仿宋" w:cs="仿宋"/>
                <w:b/>
                <w:color w:val="auto"/>
                <w:sz w:val="28"/>
                <w:szCs w:val="28"/>
              </w:rPr>
            </w:pPr>
            <w:r>
              <w:rPr>
                <w:rFonts w:hint="eastAsia" w:ascii="仿宋" w:hAnsi="仿宋" w:eastAsia="仿宋" w:cs="仿宋"/>
                <w:color w:val="auto"/>
                <w:sz w:val="28"/>
                <w:szCs w:val="28"/>
              </w:rPr>
              <w:t>签署日期:</w:t>
            </w:r>
            <w:r>
              <w:rPr>
                <w:rFonts w:hint="eastAsia" w:ascii="仿宋" w:hAnsi="仿宋" w:eastAsia="仿宋" w:cs="仿宋"/>
                <w:color w:val="auto"/>
                <w:sz w:val="28"/>
                <w:szCs w:val="28"/>
                <w:u w:val="single"/>
              </w:rPr>
              <w:t xml:space="preserve">               </w:t>
            </w:r>
          </w:p>
        </w:tc>
      </w:tr>
      <w:tr w14:paraId="4D1A4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87" w:type="dxa"/>
          </w:tcPr>
          <w:p w14:paraId="77B321E3">
            <w:pPr>
              <w:pStyle w:val="38"/>
              <w:snapToGrid w:val="0"/>
              <w:spacing w:line="460" w:lineRule="exact"/>
              <w:jc w:val="both"/>
              <w:rPr>
                <w:rFonts w:ascii="仿宋" w:hAnsi="仿宋" w:eastAsia="仿宋" w:cs="仿宋"/>
                <w:color w:val="auto"/>
                <w:sz w:val="28"/>
                <w:szCs w:val="28"/>
              </w:rPr>
            </w:pPr>
          </w:p>
        </w:tc>
        <w:tc>
          <w:tcPr>
            <w:tcW w:w="4587" w:type="dxa"/>
          </w:tcPr>
          <w:p w14:paraId="2E27EF76">
            <w:pPr>
              <w:pStyle w:val="38"/>
              <w:snapToGrid w:val="0"/>
              <w:spacing w:line="460" w:lineRule="exact"/>
              <w:jc w:val="both"/>
              <w:rPr>
                <w:rFonts w:ascii="仿宋" w:hAnsi="仿宋" w:eastAsia="仿宋" w:cs="仿宋"/>
                <w:color w:val="auto"/>
                <w:sz w:val="28"/>
                <w:szCs w:val="28"/>
              </w:rPr>
            </w:pPr>
          </w:p>
        </w:tc>
      </w:tr>
      <w:bookmarkEnd w:id="33"/>
    </w:tbl>
    <w:p w14:paraId="2FD63B14">
      <w:pPr>
        <w:pStyle w:val="10"/>
        <w:spacing w:line="360" w:lineRule="auto"/>
        <w:rPr>
          <w:rFonts w:hint="eastAsia" w:ascii="仿宋" w:hAnsi="仿宋" w:eastAsia="仿宋"/>
          <w:color w:val="auto"/>
          <w:sz w:val="24"/>
          <w:szCs w:val="24"/>
        </w:rPr>
      </w:pPr>
    </w:p>
    <w:p w14:paraId="4C7F660B">
      <w:pPr>
        <w:pStyle w:val="10"/>
        <w:spacing w:line="360" w:lineRule="auto"/>
        <w:rPr>
          <w:rFonts w:hint="eastAsia" w:ascii="仿宋" w:hAnsi="仿宋" w:eastAsia="仿宋"/>
          <w:color w:val="auto"/>
          <w:sz w:val="24"/>
          <w:szCs w:val="24"/>
        </w:rPr>
      </w:pPr>
    </w:p>
    <w:p w14:paraId="176F1435">
      <w:pPr>
        <w:pStyle w:val="10"/>
        <w:spacing w:line="360" w:lineRule="auto"/>
        <w:rPr>
          <w:rFonts w:hint="eastAsia" w:ascii="仿宋" w:hAnsi="仿宋" w:eastAsia="仿宋"/>
          <w:color w:val="auto"/>
          <w:sz w:val="24"/>
          <w:szCs w:val="24"/>
        </w:rPr>
      </w:pPr>
    </w:p>
    <w:p w14:paraId="007D6206">
      <w:pPr>
        <w:pStyle w:val="10"/>
        <w:spacing w:line="360" w:lineRule="auto"/>
        <w:rPr>
          <w:rFonts w:hint="eastAsia" w:ascii="仿宋" w:hAnsi="仿宋" w:eastAsia="仿宋"/>
          <w:color w:val="auto"/>
          <w:sz w:val="24"/>
          <w:szCs w:val="24"/>
        </w:rPr>
      </w:pPr>
    </w:p>
    <w:p w14:paraId="786F6F20">
      <w:pPr>
        <w:pStyle w:val="10"/>
        <w:spacing w:line="360" w:lineRule="auto"/>
        <w:rPr>
          <w:rFonts w:hint="eastAsia" w:ascii="仿宋" w:hAnsi="仿宋" w:eastAsia="仿宋"/>
          <w:color w:val="auto"/>
          <w:sz w:val="24"/>
          <w:szCs w:val="24"/>
        </w:rPr>
      </w:pPr>
    </w:p>
    <w:p w14:paraId="64FD434B">
      <w:pPr>
        <w:pStyle w:val="10"/>
        <w:spacing w:line="360" w:lineRule="auto"/>
        <w:rPr>
          <w:rFonts w:hint="eastAsia" w:ascii="仿宋" w:hAnsi="仿宋" w:eastAsia="仿宋"/>
          <w:color w:val="auto"/>
          <w:sz w:val="24"/>
          <w:szCs w:val="24"/>
        </w:rPr>
      </w:pPr>
    </w:p>
    <w:p w14:paraId="52CF1708">
      <w:pPr>
        <w:pStyle w:val="10"/>
        <w:spacing w:line="360" w:lineRule="auto"/>
        <w:rPr>
          <w:rFonts w:hint="eastAsia" w:ascii="仿宋" w:hAnsi="仿宋" w:eastAsia="仿宋"/>
          <w:color w:val="auto"/>
          <w:sz w:val="24"/>
          <w:szCs w:val="24"/>
        </w:rPr>
      </w:pPr>
    </w:p>
    <w:p w14:paraId="224F7D6B">
      <w:pPr>
        <w:pStyle w:val="10"/>
        <w:spacing w:line="360" w:lineRule="auto"/>
        <w:rPr>
          <w:rFonts w:hint="eastAsia" w:ascii="仿宋" w:hAnsi="仿宋" w:eastAsia="仿宋"/>
          <w:color w:val="auto"/>
          <w:sz w:val="24"/>
          <w:szCs w:val="24"/>
        </w:rPr>
      </w:pPr>
    </w:p>
    <w:p w14:paraId="772CF72B">
      <w:pPr>
        <w:pStyle w:val="10"/>
        <w:spacing w:line="360" w:lineRule="auto"/>
        <w:rPr>
          <w:rFonts w:hint="eastAsia" w:ascii="仿宋" w:hAnsi="仿宋" w:eastAsia="仿宋"/>
          <w:color w:val="auto"/>
          <w:sz w:val="24"/>
          <w:szCs w:val="24"/>
        </w:rPr>
      </w:pPr>
    </w:p>
    <w:p w14:paraId="04FBDF5D">
      <w:pPr>
        <w:pStyle w:val="10"/>
        <w:spacing w:line="360" w:lineRule="auto"/>
        <w:rPr>
          <w:rFonts w:hint="eastAsia" w:ascii="仿宋" w:hAnsi="仿宋" w:eastAsia="仿宋"/>
          <w:color w:val="auto"/>
          <w:sz w:val="24"/>
          <w:szCs w:val="24"/>
        </w:rPr>
      </w:pPr>
    </w:p>
    <w:p w14:paraId="33835B7F">
      <w:pPr>
        <w:pStyle w:val="10"/>
        <w:spacing w:line="360" w:lineRule="auto"/>
        <w:rPr>
          <w:rFonts w:hint="eastAsia" w:ascii="仿宋" w:hAnsi="仿宋" w:eastAsia="仿宋"/>
          <w:color w:val="auto"/>
          <w:sz w:val="24"/>
          <w:szCs w:val="24"/>
        </w:rPr>
      </w:pPr>
    </w:p>
    <w:p w14:paraId="7CF85B85">
      <w:pPr>
        <w:pStyle w:val="10"/>
        <w:spacing w:line="360" w:lineRule="auto"/>
        <w:rPr>
          <w:rFonts w:hint="eastAsia" w:ascii="仿宋" w:hAnsi="仿宋" w:eastAsia="仿宋"/>
          <w:color w:val="auto"/>
          <w:sz w:val="24"/>
          <w:szCs w:val="24"/>
        </w:rPr>
      </w:pPr>
    </w:p>
    <w:p w14:paraId="7B365B5B">
      <w:pPr>
        <w:pStyle w:val="10"/>
        <w:spacing w:line="360" w:lineRule="auto"/>
        <w:rPr>
          <w:rFonts w:hint="eastAsia" w:ascii="仿宋" w:hAnsi="仿宋" w:eastAsia="仿宋"/>
          <w:color w:val="auto"/>
          <w:sz w:val="24"/>
          <w:szCs w:val="24"/>
        </w:rPr>
      </w:pPr>
    </w:p>
    <w:p w14:paraId="38A764C5">
      <w:pPr>
        <w:pStyle w:val="10"/>
        <w:spacing w:line="360" w:lineRule="auto"/>
        <w:rPr>
          <w:rFonts w:hint="eastAsia" w:ascii="仿宋" w:hAnsi="仿宋" w:eastAsia="仿宋"/>
          <w:color w:val="auto"/>
          <w:sz w:val="24"/>
          <w:szCs w:val="24"/>
        </w:rPr>
      </w:pPr>
    </w:p>
    <w:p w14:paraId="2E29A6BA">
      <w:pPr>
        <w:pStyle w:val="6"/>
        <w:ind w:firstLine="0"/>
        <w:rPr>
          <w:rFonts w:hint="eastAsia" w:ascii="仿宋" w:hAnsi="仿宋" w:eastAsia="仿宋"/>
          <w:color w:val="auto"/>
          <w:sz w:val="24"/>
          <w:szCs w:val="24"/>
        </w:rPr>
      </w:pPr>
      <w:r>
        <w:rPr>
          <w:rFonts w:hint="eastAsia" w:ascii="仿宋" w:hAnsi="仿宋" w:eastAsia="仿宋"/>
          <w:color w:val="auto"/>
          <w:sz w:val="24"/>
          <w:szCs w:val="24"/>
        </w:rPr>
        <w:t>附件一：</w:t>
      </w:r>
    </w:p>
    <w:p w14:paraId="0EEDFF18">
      <w:pPr>
        <w:spacing w:line="440" w:lineRule="exact"/>
        <w:jc w:val="center"/>
        <w:rPr>
          <w:rFonts w:hint="eastAsia" w:ascii="仿宋" w:hAnsi="仿宋" w:eastAsia="仿宋"/>
          <w:b/>
          <w:bCs/>
          <w:color w:val="auto"/>
          <w:sz w:val="44"/>
          <w:szCs w:val="44"/>
        </w:rPr>
      </w:pPr>
      <w:r>
        <w:rPr>
          <w:rFonts w:hint="eastAsia" w:ascii="仿宋" w:hAnsi="仿宋" w:eastAsia="仿宋"/>
          <w:b/>
          <w:bCs/>
          <w:color w:val="auto"/>
          <w:sz w:val="44"/>
          <w:szCs w:val="44"/>
        </w:rPr>
        <w:t>廉洁协议</w:t>
      </w:r>
    </w:p>
    <w:p w14:paraId="5B60072C">
      <w:pPr>
        <w:spacing w:line="440" w:lineRule="exact"/>
        <w:rPr>
          <w:rFonts w:hint="eastAsia" w:ascii="仿宋" w:hAnsi="仿宋" w:eastAsia="仿宋"/>
          <w:color w:val="auto"/>
          <w:sz w:val="24"/>
          <w:szCs w:val="24"/>
        </w:rPr>
      </w:pPr>
      <w:r>
        <w:rPr>
          <w:rFonts w:hint="eastAsia" w:ascii="仿宋" w:hAnsi="仿宋" w:eastAsia="仿宋"/>
          <w:color w:val="auto"/>
          <w:sz w:val="24"/>
          <w:szCs w:val="24"/>
        </w:rPr>
        <w:t xml:space="preserve"> </w:t>
      </w:r>
    </w:p>
    <w:p w14:paraId="0DFFF974">
      <w:pPr>
        <w:spacing w:line="440" w:lineRule="exact"/>
        <w:rPr>
          <w:rFonts w:hint="eastAsia" w:ascii="仿宋" w:hAnsi="仿宋" w:eastAsia="仿宋"/>
          <w:color w:val="auto"/>
          <w:sz w:val="24"/>
          <w:szCs w:val="24"/>
        </w:rPr>
      </w:pPr>
      <w:r>
        <w:rPr>
          <w:rFonts w:hint="eastAsia" w:ascii="仿宋" w:hAnsi="仿宋" w:eastAsia="仿宋"/>
          <w:color w:val="auto"/>
          <w:sz w:val="24"/>
          <w:szCs w:val="24"/>
        </w:rPr>
        <w:t>甲方：【</w:t>
      </w:r>
      <w:r>
        <w:rPr>
          <w:rFonts w:hint="eastAsia" w:ascii="仿宋" w:hAnsi="仿宋" w:eastAsia="仿宋"/>
          <w:color w:val="auto"/>
          <w:sz w:val="24"/>
          <w:szCs w:val="24"/>
          <w:lang w:eastAsia="zh-CN"/>
        </w:rPr>
        <w:t>海南洋浦陆海能源发展有限公司</w:t>
      </w:r>
      <w:r>
        <w:rPr>
          <w:rFonts w:hint="eastAsia" w:ascii="仿宋" w:hAnsi="仿宋" w:eastAsia="仿宋"/>
          <w:color w:val="auto"/>
          <w:sz w:val="24"/>
          <w:szCs w:val="24"/>
        </w:rPr>
        <w:t xml:space="preserve">】                     </w:t>
      </w:r>
    </w:p>
    <w:p w14:paraId="3011A225">
      <w:pPr>
        <w:spacing w:line="440" w:lineRule="exact"/>
        <w:rPr>
          <w:rFonts w:hint="eastAsia" w:ascii="仿宋" w:hAnsi="仿宋" w:eastAsia="仿宋"/>
          <w:color w:val="auto"/>
          <w:sz w:val="24"/>
          <w:szCs w:val="24"/>
        </w:rPr>
      </w:pPr>
      <w:r>
        <w:rPr>
          <w:rFonts w:hint="eastAsia" w:ascii="仿宋" w:hAnsi="仿宋" w:eastAsia="仿宋"/>
          <w:color w:val="auto"/>
          <w:sz w:val="24"/>
          <w:szCs w:val="24"/>
        </w:rPr>
        <w:t xml:space="preserve">乙方：【                            】                             </w:t>
      </w:r>
    </w:p>
    <w:p w14:paraId="2F863877">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14:paraId="4B30EA99">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一、适用范围</w:t>
      </w:r>
    </w:p>
    <w:p w14:paraId="2EA4C05B">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本合同适用于甲方、乙方的所有工作人员。</w:t>
      </w:r>
    </w:p>
    <w:p w14:paraId="0174358F">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二、甲方对其工作人员的廉洁要求</w:t>
      </w:r>
    </w:p>
    <w:p w14:paraId="623761E6">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甲方禁止其工作人员从事如下行为：</w:t>
      </w:r>
    </w:p>
    <w:p w14:paraId="01B3A22E">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2.1向乙方索要贿赂、收受回扣及好处费、感谢费等；</w:t>
      </w:r>
    </w:p>
    <w:p w14:paraId="636173AF">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2.2接受乙方馈赠的礼品礼金、通讯工具、交通工具、家电、高档办公用品、购物卡券等；</w:t>
      </w:r>
    </w:p>
    <w:p w14:paraId="2C9FEA87">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2.3 以洽谈业务、签订经济合同为借口，接受乙方或其工作人员外出旅游和进入营业性高档娱乐场所的邀请；</w:t>
      </w:r>
    </w:p>
    <w:p w14:paraId="0DF50162">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2.4以个人名义向乙方推荐和指定分包单位、材料供应商，向乙方、分包单位、材料供应商等单位介绍其配偶、子女、亲属等特定关系人从事与履行甲乙双方间合同有关的营利性经营活动；</w:t>
      </w:r>
    </w:p>
    <w:p w14:paraId="0B42B2E5">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2.5要求或者接受乙方为其住房装修、婚丧嫁娶、家属和子女的工作安排以及出境等提供方便；</w:t>
      </w:r>
    </w:p>
    <w:p w14:paraId="18D5A7B4">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2.6利用职务便利，向乙方或分包、协作队伍、材料供应商借用交通工具、工款等，或提出、暗示其他不正当要求；</w:t>
      </w:r>
    </w:p>
    <w:p w14:paraId="578F53D2">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2.7 要求乙方报销任何应由其个人承担的费用；</w:t>
      </w:r>
    </w:p>
    <w:p w14:paraId="308F784E">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2.8 参加有可能影响公正开展工作的宴请、娱乐或其它活动</w:t>
      </w:r>
    </w:p>
    <w:p w14:paraId="0B071A16">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2.9 进行其他违反政策、法律法规或廉洁从业要求的其他行为。</w:t>
      </w:r>
    </w:p>
    <w:p w14:paraId="2A8077FD">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三、乙方发现甲方工作人员有本合同第二条所列任何行为，有义务拒绝，亦有义务向甲方举报。</w:t>
      </w:r>
    </w:p>
    <w:p w14:paraId="1D87EF04">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甲方接受举报的途径如下：</w:t>
      </w:r>
    </w:p>
    <w:p w14:paraId="02E93896">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公司受理部门：纪检监察室</w:t>
      </w:r>
    </w:p>
    <w:p w14:paraId="482C7496">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 xml:space="preserve">公司受理电话：0898-28810186        </w:t>
      </w:r>
    </w:p>
    <w:p w14:paraId="6C816AC5">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公司受理邮箱：chengl@hnyplh.com</w:t>
      </w:r>
    </w:p>
    <w:p w14:paraId="3BE9F4F6">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14:paraId="196762B4">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五、乙方若须按照本廉洁协议约定承担违约责任，并不影响其按照主合同的约定承担违约责任。</w:t>
      </w:r>
    </w:p>
    <w:p w14:paraId="2E4244FF">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六、本廉洁协作为合同的附件，与合同具有同等法律效力，经合同双方签署后生效。</w:t>
      </w:r>
    </w:p>
    <w:p w14:paraId="3F5DA78E">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七、本合同【一式肆份，甲方执贰份,乙方执贰份】，具有同等效力。</w:t>
      </w:r>
    </w:p>
    <w:p w14:paraId="06F1BFEA">
      <w:pPr>
        <w:spacing w:line="440" w:lineRule="exact"/>
        <w:rPr>
          <w:rFonts w:hint="eastAsia" w:ascii="仿宋" w:hAnsi="仿宋" w:eastAsia="仿宋"/>
          <w:color w:val="auto"/>
          <w:sz w:val="24"/>
          <w:szCs w:val="24"/>
        </w:rPr>
      </w:pPr>
      <w:r>
        <w:rPr>
          <w:rFonts w:hint="eastAsia" w:ascii="仿宋" w:hAnsi="仿宋" w:eastAsia="仿宋"/>
          <w:color w:val="auto"/>
          <w:sz w:val="24"/>
          <w:szCs w:val="24"/>
        </w:rPr>
        <w:t xml:space="preserve"> </w:t>
      </w:r>
    </w:p>
    <w:p w14:paraId="035C38DF">
      <w:pPr>
        <w:spacing w:line="440" w:lineRule="exact"/>
        <w:ind w:left="6240" w:hanging="6240" w:hangingChars="2600"/>
        <w:rPr>
          <w:rFonts w:hint="eastAsia" w:ascii="仿宋" w:hAnsi="仿宋" w:eastAsia="仿宋"/>
          <w:color w:val="auto"/>
          <w:sz w:val="24"/>
          <w:szCs w:val="24"/>
        </w:rPr>
      </w:pPr>
      <w:r>
        <w:rPr>
          <w:rFonts w:hint="eastAsia" w:ascii="仿宋" w:hAnsi="仿宋" w:eastAsia="仿宋"/>
          <w:color w:val="auto"/>
          <w:sz w:val="24"/>
          <w:szCs w:val="24"/>
        </w:rPr>
        <w:t xml:space="preserve">甲方：【                 】              </w:t>
      </w:r>
    </w:p>
    <w:p w14:paraId="03FE73B8">
      <w:pPr>
        <w:spacing w:line="440" w:lineRule="exact"/>
        <w:ind w:left="6240" w:hanging="6240" w:hangingChars="2600"/>
        <w:rPr>
          <w:rFonts w:hint="eastAsia" w:ascii="仿宋" w:hAnsi="仿宋" w:eastAsia="仿宋"/>
          <w:color w:val="auto"/>
          <w:sz w:val="24"/>
          <w:szCs w:val="24"/>
        </w:rPr>
      </w:pPr>
      <w:r>
        <w:rPr>
          <w:rFonts w:hint="eastAsia" w:ascii="仿宋" w:hAnsi="仿宋" w:eastAsia="仿宋"/>
          <w:color w:val="auto"/>
          <w:sz w:val="24"/>
          <w:szCs w:val="24"/>
        </w:rPr>
        <w:t xml:space="preserve"> </w:t>
      </w:r>
    </w:p>
    <w:p w14:paraId="53AA0FDE">
      <w:pPr>
        <w:spacing w:line="440" w:lineRule="exact"/>
        <w:ind w:left="6240" w:hanging="6240" w:hangingChars="2600"/>
        <w:rPr>
          <w:rFonts w:hint="eastAsia" w:ascii="仿宋" w:hAnsi="仿宋" w:eastAsia="仿宋"/>
          <w:color w:val="auto"/>
          <w:sz w:val="24"/>
          <w:szCs w:val="24"/>
        </w:rPr>
      </w:pPr>
      <w:r>
        <w:rPr>
          <w:rFonts w:hint="eastAsia" w:ascii="仿宋" w:hAnsi="仿宋" w:eastAsia="仿宋"/>
          <w:color w:val="auto"/>
          <w:sz w:val="24"/>
          <w:szCs w:val="24"/>
        </w:rPr>
        <w:t>法定代表人（委托代理人）：【     】</w:t>
      </w:r>
    </w:p>
    <w:p w14:paraId="3E2F9010">
      <w:pPr>
        <w:spacing w:line="440" w:lineRule="exact"/>
        <w:ind w:left="6240" w:hanging="6240" w:hangingChars="2600"/>
        <w:rPr>
          <w:rFonts w:hint="eastAsia" w:ascii="仿宋" w:hAnsi="仿宋" w:eastAsia="仿宋"/>
          <w:color w:val="auto"/>
          <w:sz w:val="24"/>
          <w:szCs w:val="24"/>
        </w:rPr>
      </w:pPr>
      <w:r>
        <w:rPr>
          <w:rFonts w:hint="eastAsia" w:ascii="仿宋" w:hAnsi="仿宋" w:eastAsia="仿宋"/>
          <w:color w:val="auto"/>
          <w:sz w:val="24"/>
          <w:szCs w:val="24"/>
        </w:rPr>
        <w:t xml:space="preserve"> </w:t>
      </w:r>
    </w:p>
    <w:p w14:paraId="41B69C8A">
      <w:pPr>
        <w:spacing w:line="440" w:lineRule="exact"/>
        <w:ind w:left="6240" w:hanging="6240" w:hangingChars="2600"/>
        <w:rPr>
          <w:rFonts w:hint="eastAsia" w:ascii="仿宋" w:hAnsi="仿宋" w:eastAsia="仿宋"/>
          <w:color w:val="auto"/>
          <w:sz w:val="24"/>
          <w:szCs w:val="24"/>
        </w:rPr>
      </w:pPr>
      <w:r>
        <w:rPr>
          <w:rFonts w:hint="eastAsia" w:ascii="仿宋" w:hAnsi="仿宋" w:eastAsia="仿宋"/>
          <w:color w:val="auto"/>
          <w:sz w:val="24"/>
          <w:szCs w:val="24"/>
        </w:rPr>
        <w:t>乙方：【                  】</w:t>
      </w:r>
    </w:p>
    <w:p w14:paraId="15A03519">
      <w:pPr>
        <w:spacing w:line="440" w:lineRule="exact"/>
        <w:rPr>
          <w:rFonts w:hint="eastAsia" w:ascii="仿宋" w:hAnsi="仿宋" w:eastAsia="仿宋"/>
          <w:color w:val="auto"/>
          <w:sz w:val="24"/>
          <w:szCs w:val="24"/>
        </w:rPr>
      </w:pPr>
      <w:r>
        <w:rPr>
          <w:rFonts w:hint="eastAsia" w:ascii="仿宋" w:hAnsi="仿宋" w:eastAsia="仿宋"/>
          <w:color w:val="auto"/>
          <w:sz w:val="24"/>
          <w:szCs w:val="24"/>
        </w:rPr>
        <w:t xml:space="preserve"> </w:t>
      </w:r>
    </w:p>
    <w:p w14:paraId="3E21C730">
      <w:pPr>
        <w:spacing w:line="440" w:lineRule="exact"/>
        <w:rPr>
          <w:rFonts w:hint="eastAsia" w:ascii="仿宋" w:hAnsi="仿宋" w:eastAsia="仿宋"/>
          <w:color w:val="auto"/>
          <w:sz w:val="24"/>
          <w:szCs w:val="24"/>
        </w:rPr>
      </w:pPr>
      <w:r>
        <w:rPr>
          <w:rFonts w:hint="eastAsia" w:ascii="仿宋" w:hAnsi="仿宋" w:eastAsia="仿宋"/>
          <w:color w:val="auto"/>
          <w:sz w:val="24"/>
          <w:szCs w:val="24"/>
        </w:rPr>
        <w:t>法定代表人（委托代理人）：【     】</w:t>
      </w:r>
    </w:p>
    <w:p w14:paraId="30E364BD">
      <w:pPr>
        <w:rPr>
          <w:rFonts w:hint="eastAsia" w:ascii="楷体" w:hAnsi="楷体" w:eastAsia="楷体" w:cs="楷体"/>
          <w:color w:val="auto"/>
          <w:sz w:val="24"/>
          <w:szCs w:val="24"/>
        </w:rPr>
      </w:pPr>
      <w:r>
        <w:rPr>
          <w:rFonts w:hint="eastAsia" w:ascii="楷体" w:hAnsi="楷体" w:eastAsia="楷体" w:cs="楷体"/>
          <w:color w:val="auto"/>
          <w:sz w:val="24"/>
          <w:szCs w:val="24"/>
        </w:rPr>
        <w:br w:type="page"/>
      </w:r>
    </w:p>
    <w:p w14:paraId="1E9C7A82">
      <w:pPr>
        <w:pStyle w:val="8"/>
        <w:adjustRightInd w:val="0"/>
        <w:snapToGrid w:val="0"/>
        <w:spacing w:before="156" w:beforeLines="50"/>
        <w:rPr>
          <w:rFonts w:hint="eastAsia"/>
          <w:b/>
          <w:color w:val="auto"/>
          <w:lang w:val="en-US"/>
        </w:rPr>
      </w:pPr>
    </w:p>
    <w:p w14:paraId="74148A84">
      <w:pPr>
        <w:pStyle w:val="29"/>
        <w:numPr>
          <w:ilvl w:val="0"/>
          <w:numId w:val="2"/>
        </w:numPr>
        <w:rPr>
          <w:rFonts w:hint="eastAsia" w:ascii="楷体" w:hAnsi="楷体" w:eastAsia="楷体" w:cs="楷体"/>
          <w:b/>
          <w:bCs w:val="0"/>
          <w:color w:val="auto"/>
        </w:rPr>
      </w:pPr>
      <w:bookmarkStart w:id="34" w:name="_Toc27539"/>
      <w:r>
        <w:rPr>
          <w:rFonts w:hint="eastAsia" w:ascii="楷体" w:hAnsi="楷体" w:eastAsia="楷体" w:cs="楷体"/>
          <w:b/>
          <w:bCs w:val="0"/>
          <w:color w:val="auto"/>
        </w:rPr>
        <w:t>报价文件格式</w:t>
      </w:r>
      <w:bookmarkEnd w:id="34"/>
    </w:p>
    <w:p w14:paraId="5312DA1F">
      <w:pPr>
        <w:pStyle w:val="8"/>
        <w:adjustRightInd w:val="0"/>
        <w:snapToGrid w:val="0"/>
        <w:spacing w:before="156" w:beforeLines="50"/>
        <w:jc w:val="center"/>
        <w:rPr>
          <w:rFonts w:hint="eastAsia"/>
          <w:b/>
          <w:color w:val="auto"/>
          <w:sz w:val="36"/>
          <w:szCs w:val="36"/>
          <w:lang w:val="en-US"/>
        </w:rPr>
      </w:pPr>
    </w:p>
    <w:p w14:paraId="1546ADF5">
      <w:pPr>
        <w:pStyle w:val="8"/>
        <w:adjustRightInd w:val="0"/>
        <w:snapToGrid w:val="0"/>
        <w:spacing w:before="156" w:beforeLines="50"/>
        <w:jc w:val="center"/>
        <w:rPr>
          <w:rFonts w:hint="eastAsia"/>
          <w:b/>
          <w:color w:val="auto"/>
          <w:sz w:val="36"/>
          <w:szCs w:val="36"/>
          <w:u w:val="single"/>
        </w:rPr>
      </w:pPr>
      <w:r>
        <w:rPr>
          <w:rFonts w:hint="eastAsia"/>
          <w:b/>
          <w:color w:val="auto"/>
          <w:sz w:val="36"/>
          <w:szCs w:val="36"/>
          <w:lang w:val="en-US" w:eastAsia="zh-CN"/>
        </w:rPr>
        <w:t>洋浦迎宾馆用户侧储能项目可行性研究报告</w:t>
      </w:r>
      <w:r>
        <w:rPr>
          <w:rFonts w:hint="eastAsia"/>
          <w:b/>
          <w:color w:val="auto"/>
          <w:sz w:val="36"/>
          <w:szCs w:val="36"/>
          <w:lang w:val="en-US"/>
        </w:rPr>
        <w:t>编制服务公开询价</w:t>
      </w:r>
    </w:p>
    <w:p w14:paraId="538C498C">
      <w:pPr>
        <w:pStyle w:val="8"/>
        <w:adjustRightInd w:val="0"/>
        <w:snapToGrid w:val="0"/>
        <w:spacing w:before="156" w:beforeLines="50"/>
        <w:ind w:left="119"/>
        <w:jc w:val="center"/>
        <w:rPr>
          <w:rFonts w:hint="eastAsia"/>
          <w:color w:val="auto"/>
          <w:sz w:val="72"/>
        </w:rPr>
      </w:pPr>
    </w:p>
    <w:p w14:paraId="47EE6CE1">
      <w:pPr>
        <w:spacing w:after="156" w:line="360" w:lineRule="auto"/>
        <w:jc w:val="center"/>
        <w:rPr>
          <w:b/>
          <w:color w:val="auto"/>
          <w:sz w:val="84"/>
          <w:szCs w:val="84"/>
        </w:rPr>
      </w:pPr>
      <w:r>
        <w:rPr>
          <w:rFonts w:hint="eastAsia"/>
          <w:b/>
          <w:color w:val="auto"/>
          <w:sz w:val="84"/>
          <w:szCs w:val="84"/>
        </w:rPr>
        <w:t>报价文件</w:t>
      </w:r>
    </w:p>
    <w:p w14:paraId="20D3D898">
      <w:pPr>
        <w:pStyle w:val="8"/>
        <w:adjustRightInd w:val="0"/>
        <w:snapToGrid w:val="0"/>
        <w:spacing w:before="156" w:beforeLines="50"/>
        <w:ind w:left="119" w:firstLine="2310" w:firstLineChars="1100"/>
        <w:rPr>
          <w:rFonts w:hint="eastAsia"/>
          <w:color w:val="auto"/>
        </w:rPr>
      </w:pPr>
      <w:r>
        <w:rPr>
          <w:color w:val="auto"/>
        </w:rPr>
        <w:t xml:space="preserve"> </w:t>
      </w:r>
    </w:p>
    <w:p w14:paraId="7A29056C">
      <w:pPr>
        <w:pStyle w:val="8"/>
        <w:adjustRightInd w:val="0"/>
        <w:snapToGrid w:val="0"/>
        <w:spacing w:before="156" w:beforeLines="50"/>
        <w:ind w:left="119" w:firstLine="1890" w:firstLineChars="900"/>
        <w:rPr>
          <w:rFonts w:hint="eastAsia"/>
          <w:color w:val="auto"/>
        </w:rPr>
      </w:pPr>
    </w:p>
    <w:p w14:paraId="12C20802">
      <w:pPr>
        <w:pStyle w:val="8"/>
        <w:adjustRightInd w:val="0"/>
        <w:snapToGrid w:val="0"/>
        <w:spacing w:before="156" w:beforeLines="50"/>
        <w:ind w:left="119" w:firstLine="1890" w:firstLineChars="900"/>
        <w:rPr>
          <w:rFonts w:hint="eastAsia"/>
          <w:color w:val="auto"/>
        </w:rPr>
      </w:pPr>
    </w:p>
    <w:p w14:paraId="38B9ED4C">
      <w:pPr>
        <w:pStyle w:val="8"/>
        <w:adjustRightInd w:val="0"/>
        <w:snapToGrid w:val="0"/>
        <w:spacing w:before="156" w:beforeLines="50"/>
        <w:ind w:left="119" w:firstLine="1890" w:firstLineChars="900"/>
        <w:rPr>
          <w:rFonts w:hint="eastAsia"/>
          <w:color w:val="auto"/>
        </w:rPr>
      </w:pPr>
    </w:p>
    <w:p w14:paraId="4FD15BC5">
      <w:pPr>
        <w:pStyle w:val="8"/>
        <w:adjustRightInd w:val="0"/>
        <w:snapToGrid w:val="0"/>
        <w:spacing w:before="156" w:beforeLines="50"/>
        <w:ind w:left="119" w:firstLine="1890" w:firstLineChars="900"/>
        <w:rPr>
          <w:rFonts w:hint="eastAsia"/>
          <w:color w:val="auto"/>
        </w:rPr>
      </w:pPr>
    </w:p>
    <w:p w14:paraId="2DBA6245">
      <w:pPr>
        <w:pStyle w:val="8"/>
        <w:adjustRightInd w:val="0"/>
        <w:snapToGrid w:val="0"/>
        <w:spacing w:before="156" w:beforeLines="50"/>
        <w:ind w:left="119" w:firstLine="1890" w:firstLineChars="900"/>
        <w:rPr>
          <w:rFonts w:hint="eastAsia"/>
          <w:color w:val="auto"/>
        </w:rPr>
      </w:pPr>
    </w:p>
    <w:p w14:paraId="6258B267">
      <w:pPr>
        <w:pStyle w:val="8"/>
        <w:adjustRightInd w:val="0"/>
        <w:snapToGrid w:val="0"/>
        <w:spacing w:before="156" w:beforeLines="50"/>
        <w:ind w:left="119" w:firstLine="1890" w:firstLineChars="900"/>
        <w:rPr>
          <w:rFonts w:hint="eastAsia"/>
          <w:color w:val="auto"/>
        </w:rPr>
      </w:pPr>
    </w:p>
    <w:p w14:paraId="7FC1023D">
      <w:pPr>
        <w:pStyle w:val="8"/>
        <w:adjustRightInd w:val="0"/>
        <w:snapToGrid w:val="0"/>
        <w:spacing w:before="156" w:beforeLines="50"/>
        <w:ind w:left="119" w:firstLine="1890" w:firstLineChars="900"/>
        <w:rPr>
          <w:rFonts w:hint="eastAsia"/>
          <w:color w:val="auto"/>
        </w:rPr>
      </w:pPr>
    </w:p>
    <w:p w14:paraId="2A7FE2C9">
      <w:pPr>
        <w:pStyle w:val="8"/>
        <w:adjustRightInd w:val="0"/>
        <w:snapToGrid w:val="0"/>
        <w:spacing w:before="156" w:beforeLines="50"/>
        <w:ind w:left="119" w:firstLine="1890" w:firstLineChars="900"/>
        <w:rPr>
          <w:rFonts w:hint="eastAsia"/>
          <w:color w:val="auto"/>
        </w:rPr>
      </w:pPr>
    </w:p>
    <w:p w14:paraId="072BFFFB">
      <w:pPr>
        <w:pStyle w:val="8"/>
        <w:adjustRightInd w:val="0"/>
        <w:snapToGrid w:val="0"/>
        <w:spacing w:before="156" w:beforeLines="50"/>
        <w:ind w:left="119" w:firstLine="1890" w:firstLineChars="900"/>
        <w:rPr>
          <w:rFonts w:hint="eastAsia"/>
          <w:color w:val="auto"/>
        </w:rPr>
      </w:pPr>
    </w:p>
    <w:p w14:paraId="3E07F42F">
      <w:pPr>
        <w:pStyle w:val="8"/>
        <w:adjustRightInd w:val="0"/>
        <w:snapToGrid w:val="0"/>
        <w:spacing w:before="156" w:beforeLines="50"/>
        <w:ind w:left="119" w:firstLine="1890" w:firstLineChars="900"/>
        <w:rPr>
          <w:rFonts w:hint="eastAsia"/>
          <w:color w:val="auto"/>
        </w:rPr>
      </w:pPr>
    </w:p>
    <w:p w14:paraId="522F8B29">
      <w:pPr>
        <w:pStyle w:val="8"/>
        <w:adjustRightInd w:val="0"/>
        <w:snapToGrid w:val="0"/>
        <w:jc w:val="center"/>
        <w:rPr>
          <w:rFonts w:hint="eastAsia"/>
          <w:color w:val="auto"/>
          <w:sz w:val="32"/>
          <w:szCs w:val="32"/>
        </w:rPr>
      </w:pPr>
      <w:r>
        <w:rPr>
          <w:rFonts w:hint="eastAsia"/>
          <w:color w:val="auto"/>
          <w:sz w:val="32"/>
          <w:szCs w:val="32"/>
          <w:lang w:val="en-US" w:eastAsia="zh-CN"/>
        </w:rPr>
        <w:t>报价单位</w:t>
      </w:r>
      <w:r>
        <w:rPr>
          <w:color w:val="auto"/>
          <w:sz w:val="32"/>
          <w:szCs w:val="32"/>
        </w:rPr>
        <w:t>：</w:t>
      </w:r>
      <w:r>
        <w:rPr>
          <w:color w:val="auto"/>
          <w:sz w:val="32"/>
          <w:szCs w:val="32"/>
          <w:u w:val="single"/>
        </w:rPr>
        <w:tab/>
      </w:r>
      <w:r>
        <w:rPr>
          <w:color w:val="auto"/>
          <w:sz w:val="32"/>
          <w:szCs w:val="32"/>
          <w:u w:val="single"/>
        </w:rPr>
        <w:t xml:space="preserve">              （盖章）</w:t>
      </w:r>
    </w:p>
    <w:p w14:paraId="04FA86CE">
      <w:pPr>
        <w:pStyle w:val="8"/>
        <w:adjustRightInd w:val="0"/>
        <w:snapToGrid w:val="0"/>
        <w:spacing w:before="156" w:beforeLines="50"/>
        <w:jc w:val="center"/>
        <w:rPr>
          <w:rFonts w:hint="eastAsia"/>
          <w:color w:val="auto"/>
          <w:sz w:val="28"/>
          <w:szCs w:val="28"/>
        </w:rPr>
      </w:pPr>
    </w:p>
    <w:p w14:paraId="1A123753">
      <w:pPr>
        <w:pStyle w:val="8"/>
        <w:adjustRightInd w:val="0"/>
        <w:snapToGrid w:val="0"/>
        <w:spacing w:before="156" w:beforeLines="50"/>
        <w:jc w:val="center"/>
        <w:rPr>
          <w:rFonts w:hint="eastAsia"/>
          <w:color w:val="auto"/>
          <w:sz w:val="28"/>
          <w:szCs w:val="28"/>
        </w:rPr>
      </w:pPr>
      <w:r>
        <w:rPr>
          <w:color w:val="auto"/>
          <w:sz w:val="28"/>
          <w:szCs w:val="28"/>
        </w:rPr>
        <w:t>日  期：</w:t>
      </w:r>
      <w:r>
        <w:rPr>
          <w:rFonts w:hint="eastAsia"/>
          <w:color w:val="auto"/>
          <w:sz w:val="28"/>
          <w:szCs w:val="28"/>
        </w:rPr>
        <w:t xml:space="preserve">   </w:t>
      </w:r>
      <w:r>
        <w:rPr>
          <w:color w:val="auto"/>
          <w:sz w:val="28"/>
          <w:szCs w:val="28"/>
        </w:rPr>
        <w:t xml:space="preserve"> 年</w:t>
      </w:r>
      <w:r>
        <w:rPr>
          <w:rFonts w:hint="eastAsia"/>
          <w:color w:val="auto"/>
          <w:sz w:val="28"/>
          <w:szCs w:val="28"/>
        </w:rPr>
        <w:t xml:space="preserve"> </w:t>
      </w:r>
      <w:r>
        <w:rPr>
          <w:color w:val="auto"/>
          <w:sz w:val="28"/>
          <w:szCs w:val="28"/>
        </w:rPr>
        <w:t xml:space="preserve"> 月</w:t>
      </w:r>
      <w:r>
        <w:rPr>
          <w:rFonts w:hint="eastAsia"/>
          <w:color w:val="auto"/>
          <w:sz w:val="28"/>
          <w:szCs w:val="28"/>
        </w:rPr>
        <w:t xml:space="preserve"> </w:t>
      </w:r>
      <w:r>
        <w:rPr>
          <w:color w:val="auto"/>
          <w:sz w:val="28"/>
          <w:szCs w:val="28"/>
        </w:rPr>
        <w:t xml:space="preserve"> 日</w:t>
      </w:r>
    </w:p>
    <w:p w14:paraId="47E11E41">
      <w:pPr>
        <w:rPr>
          <w:rFonts w:hint="eastAsia" w:ascii="楷体" w:hAnsi="楷体" w:eastAsia="楷体" w:cs="楷体"/>
          <w:color w:val="auto"/>
          <w:sz w:val="24"/>
          <w:szCs w:val="24"/>
        </w:rPr>
      </w:pPr>
    </w:p>
    <w:p w14:paraId="225278CF">
      <w:pPr>
        <w:rPr>
          <w:rFonts w:hint="eastAsia" w:ascii="楷体" w:hAnsi="楷体" w:eastAsia="楷体" w:cs="楷体"/>
          <w:color w:val="auto"/>
          <w:sz w:val="24"/>
          <w:szCs w:val="24"/>
        </w:rPr>
      </w:pPr>
      <w:r>
        <w:rPr>
          <w:rFonts w:hint="eastAsia" w:ascii="楷体" w:hAnsi="楷体" w:eastAsia="楷体" w:cs="楷体"/>
          <w:color w:val="auto"/>
          <w:sz w:val="24"/>
          <w:szCs w:val="24"/>
        </w:rPr>
        <w:br w:type="page"/>
      </w:r>
    </w:p>
    <w:p w14:paraId="50F164D4">
      <w:pPr>
        <w:pStyle w:val="2"/>
        <w:spacing w:before="0" w:after="0" w:line="240" w:lineRule="auto"/>
        <w:ind w:firstLine="3614" w:firstLineChars="1500"/>
        <w:rPr>
          <w:rFonts w:hint="eastAsia" w:ascii="楷体" w:hAnsi="楷体" w:eastAsia="楷体" w:cs="楷体"/>
          <w:color w:val="auto"/>
          <w:sz w:val="24"/>
          <w:szCs w:val="24"/>
        </w:rPr>
      </w:pPr>
      <w:bookmarkStart w:id="35" w:name="_Toc21406"/>
      <w:bookmarkStart w:id="36" w:name="_Toc14808"/>
      <w:r>
        <w:rPr>
          <w:rFonts w:hint="eastAsia" w:ascii="楷体" w:hAnsi="楷体" w:eastAsia="楷体" w:cs="楷体"/>
          <w:color w:val="auto"/>
          <w:sz w:val="24"/>
          <w:szCs w:val="24"/>
        </w:rPr>
        <w:t>报价表</w:t>
      </w:r>
      <w:bookmarkEnd w:id="35"/>
    </w:p>
    <w:tbl>
      <w:tblPr>
        <w:tblStyle w:val="20"/>
        <w:tblpPr w:leftFromText="180" w:rightFromText="180" w:vertAnchor="text" w:horzAnchor="page" w:tblpX="1383" w:tblpY="791"/>
        <w:tblOverlap w:val="never"/>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2246"/>
        <w:gridCol w:w="6134"/>
      </w:tblGrid>
      <w:tr w14:paraId="67EF1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799" w:type="dxa"/>
            <w:tcBorders>
              <w:bottom w:val="single" w:color="auto" w:sz="4" w:space="0"/>
              <w:right w:val="single" w:color="auto" w:sz="4" w:space="0"/>
            </w:tcBorders>
            <w:vAlign w:val="center"/>
          </w:tcPr>
          <w:p w14:paraId="57B60BBB">
            <w:pPr>
              <w:spacing w:line="400" w:lineRule="exact"/>
              <w:jc w:val="center"/>
              <w:rPr>
                <w:rFonts w:hint="eastAsia" w:ascii="楷体" w:hAnsi="楷体" w:eastAsia="楷体" w:cs="楷体"/>
                <w:bCs/>
                <w:color w:val="auto"/>
                <w:sz w:val="24"/>
                <w:szCs w:val="24"/>
              </w:rPr>
            </w:pPr>
            <w:r>
              <w:rPr>
                <w:rFonts w:ascii="楷体" w:hAnsi="楷体" w:eastAsia="楷体" w:cs="楷体"/>
                <w:bCs/>
                <w:color w:val="auto"/>
                <w:sz w:val="24"/>
                <w:szCs w:val="24"/>
              </w:rPr>
              <w:t>序号</w:t>
            </w:r>
          </w:p>
        </w:tc>
        <w:tc>
          <w:tcPr>
            <w:tcW w:w="2246" w:type="dxa"/>
            <w:tcBorders>
              <w:left w:val="single" w:color="auto" w:sz="4" w:space="0"/>
              <w:bottom w:val="single" w:color="auto" w:sz="4" w:space="0"/>
            </w:tcBorders>
            <w:vAlign w:val="center"/>
          </w:tcPr>
          <w:p w14:paraId="7DECE24A">
            <w:pPr>
              <w:spacing w:line="400" w:lineRule="exact"/>
              <w:jc w:val="center"/>
              <w:rPr>
                <w:rFonts w:hint="eastAsia" w:ascii="楷体" w:hAnsi="楷体" w:eastAsia="楷体" w:cs="楷体"/>
                <w:bCs/>
                <w:color w:val="auto"/>
                <w:sz w:val="24"/>
                <w:szCs w:val="24"/>
              </w:rPr>
            </w:pPr>
            <w:r>
              <w:rPr>
                <w:rFonts w:ascii="楷体" w:hAnsi="楷体" w:eastAsia="楷体" w:cs="楷体"/>
                <w:bCs/>
                <w:color w:val="auto"/>
                <w:sz w:val="24"/>
                <w:szCs w:val="24"/>
              </w:rPr>
              <w:t>项  目</w:t>
            </w:r>
          </w:p>
        </w:tc>
        <w:tc>
          <w:tcPr>
            <w:tcW w:w="6134" w:type="dxa"/>
            <w:tcBorders>
              <w:bottom w:val="single" w:color="auto" w:sz="4" w:space="0"/>
            </w:tcBorders>
            <w:vAlign w:val="center"/>
          </w:tcPr>
          <w:p w14:paraId="03B23D87">
            <w:pPr>
              <w:spacing w:line="4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报价单位填报</w:t>
            </w:r>
          </w:p>
        </w:tc>
      </w:tr>
      <w:tr w14:paraId="1143C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8" w:hRule="atLeast"/>
        </w:trPr>
        <w:tc>
          <w:tcPr>
            <w:tcW w:w="799" w:type="dxa"/>
            <w:tcBorders>
              <w:top w:val="single" w:color="auto" w:sz="4" w:space="0"/>
              <w:right w:val="single" w:color="auto" w:sz="4" w:space="0"/>
            </w:tcBorders>
            <w:vAlign w:val="center"/>
          </w:tcPr>
          <w:p w14:paraId="5A0FDEDE">
            <w:pPr>
              <w:spacing w:line="4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1</w:t>
            </w:r>
          </w:p>
        </w:tc>
        <w:tc>
          <w:tcPr>
            <w:tcW w:w="2246" w:type="dxa"/>
            <w:tcBorders>
              <w:top w:val="single" w:color="auto" w:sz="4" w:space="0"/>
              <w:left w:val="single" w:color="auto" w:sz="4" w:space="0"/>
            </w:tcBorders>
            <w:vAlign w:val="center"/>
          </w:tcPr>
          <w:p w14:paraId="2DE5CC95">
            <w:pPr>
              <w:spacing w:line="4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总报价</w:t>
            </w:r>
          </w:p>
        </w:tc>
        <w:tc>
          <w:tcPr>
            <w:tcW w:w="6134" w:type="dxa"/>
            <w:tcBorders>
              <w:top w:val="single" w:color="auto" w:sz="4" w:space="0"/>
            </w:tcBorders>
            <w:vAlign w:val="center"/>
          </w:tcPr>
          <w:p w14:paraId="63E6331D">
            <w:pPr>
              <w:spacing w:line="400" w:lineRule="exact"/>
              <w:jc w:val="center"/>
              <w:rPr>
                <w:rFonts w:hint="eastAsia" w:ascii="楷体" w:hAnsi="楷体" w:eastAsia="楷体" w:cs="楷体"/>
                <w:bCs/>
                <w:color w:val="auto"/>
                <w:sz w:val="24"/>
                <w:szCs w:val="24"/>
              </w:rPr>
            </w:pPr>
            <w:r>
              <w:rPr>
                <w:rFonts w:ascii="楷体" w:hAnsi="楷体" w:eastAsia="楷体" w:cs="楷体"/>
                <w:bCs/>
                <w:color w:val="auto"/>
                <w:sz w:val="24"/>
                <w:szCs w:val="24"/>
              </w:rPr>
              <w:t>(</w:t>
            </w:r>
            <w:r>
              <w:rPr>
                <w:rFonts w:hint="eastAsia" w:ascii="楷体" w:hAnsi="楷体" w:eastAsia="楷体" w:cs="楷体"/>
                <w:bCs/>
                <w:color w:val="auto"/>
                <w:sz w:val="24"/>
                <w:szCs w:val="24"/>
              </w:rPr>
              <w:t>小写</w:t>
            </w:r>
            <w:r>
              <w:rPr>
                <w:rFonts w:ascii="楷体" w:hAnsi="楷体" w:eastAsia="楷体" w:cs="楷体"/>
                <w:bCs/>
                <w:color w:val="auto"/>
                <w:sz w:val="24"/>
                <w:szCs w:val="24"/>
              </w:rPr>
              <w:t>)：          (大写)：</w:t>
            </w:r>
          </w:p>
        </w:tc>
      </w:tr>
      <w:tr w14:paraId="749DB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799" w:type="dxa"/>
            <w:tcBorders>
              <w:right w:val="single" w:color="auto" w:sz="4" w:space="0"/>
            </w:tcBorders>
            <w:vAlign w:val="center"/>
          </w:tcPr>
          <w:p w14:paraId="70648FF0">
            <w:pPr>
              <w:spacing w:line="4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2</w:t>
            </w:r>
          </w:p>
        </w:tc>
        <w:tc>
          <w:tcPr>
            <w:tcW w:w="2246" w:type="dxa"/>
            <w:tcBorders>
              <w:left w:val="single" w:color="auto" w:sz="4" w:space="0"/>
            </w:tcBorders>
            <w:vAlign w:val="center"/>
          </w:tcPr>
          <w:p w14:paraId="5CF2DF99">
            <w:pPr>
              <w:spacing w:line="4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项目负责人</w:t>
            </w:r>
          </w:p>
        </w:tc>
        <w:tc>
          <w:tcPr>
            <w:tcW w:w="6134" w:type="dxa"/>
            <w:tcBorders>
              <w:top w:val="single" w:color="auto" w:sz="4" w:space="0"/>
            </w:tcBorders>
            <w:vAlign w:val="center"/>
          </w:tcPr>
          <w:p w14:paraId="6C78E2B2">
            <w:pPr>
              <w:spacing w:line="4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 xml:space="preserve">姓名：         联系方式：              </w:t>
            </w:r>
          </w:p>
        </w:tc>
      </w:tr>
      <w:tr w14:paraId="158A6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799" w:type="dxa"/>
            <w:tcBorders>
              <w:right w:val="single" w:color="auto" w:sz="4" w:space="0"/>
            </w:tcBorders>
            <w:vAlign w:val="center"/>
          </w:tcPr>
          <w:p w14:paraId="61CF3C65">
            <w:pPr>
              <w:spacing w:line="4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3</w:t>
            </w:r>
          </w:p>
        </w:tc>
        <w:tc>
          <w:tcPr>
            <w:tcW w:w="2246" w:type="dxa"/>
            <w:tcBorders>
              <w:left w:val="single" w:color="auto" w:sz="4" w:space="0"/>
            </w:tcBorders>
            <w:vAlign w:val="center"/>
          </w:tcPr>
          <w:p w14:paraId="664CD138">
            <w:pPr>
              <w:spacing w:line="4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报价声明</w:t>
            </w:r>
          </w:p>
        </w:tc>
        <w:tc>
          <w:tcPr>
            <w:tcW w:w="6134" w:type="dxa"/>
            <w:tcBorders>
              <w:top w:val="single" w:color="auto" w:sz="4" w:space="0"/>
            </w:tcBorders>
            <w:vAlign w:val="center"/>
          </w:tcPr>
          <w:p w14:paraId="2C034C14">
            <w:pPr>
              <w:spacing w:line="4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承诺项目负责人未经采购人许可不得变更，并不再兼职其他项目。</w:t>
            </w:r>
          </w:p>
        </w:tc>
      </w:tr>
      <w:tr w14:paraId="60530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799" w:type="dxa"/>
            <w:tcBorders>
              <w:right w:val="single" w:color="auto" w:sz="4" w:space="0"/>
            </w:tcBorders>
            <w:vAlign w:val="center"/>
          </w:tcPr>
          <w:p w14:paraId="7903BDC6">
            <w:pPr>
              <w:spacing w:line="4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4</w:t>
            </w:r>
          </w:p>
        </w:tc>
        <w:tc>
          <w:tcPr>
            <w:tcW w:w="2246" w:type="dxa"/>
            <w:tcBorders>
              <w:left w:val="single" w:color="auto" w:sz="4" w:space="0"/>
            </w:tcBorders>
            <w:vAlign w:val="center"/>
          </w:tcPr>
          <w:p w14:paraId="1F945489">
            <w:pPr>
              <w:spacing w:line="4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完成项目</w:t>
            </w:r>
            <w:r>
              <w:rPr>
                <w:rFonts w:hint="eastAsia" w:ascii="楷体" w:hAnsi="楷体" w:eastAsia="楷体" w:cs="楷体"/>
                <w:bCs/>
                <w:color w:val="auto"/>
                <w:sz w:val="24"/>
                <w:szCs w:val="24"/>
                <w:lang w:val="en-US" w:eastAsia="zh-CN"/>
              </w:rPr>
              <w:t>可行性研究报告</w:t>
            </w:r>
            <w:r>
              <w:rPr>
                <w:rFonts w:hint="eastAsia" w:ascii="楷体" w:hAnsi="楷体" w:eastAsia="楷体" w:cs="楷体"/>
                <w:bCs/>
                <w:color w:val="auto"/>
                <w:sz w:val="24"/>
                <w:szCs w:val="24"/>
              </w:rPr>
              <w:t>初稿的编制时间</w:t>
            </w:r>
          </w:p>
        </w:tc>
        <w:tc>
          <w:tcPr>
            <w:tcW w:w="6134" w:type="dxa"/>
            <w:vAlign w:val="center"/>
          </w:tcPr>
          <w:p w14:paraId="187BCC23">
            <w:pPr>
              <w:spacing w:line="400" w:lineRule="exact"/>
              <w:jc w:val="center"/>
              <w:rPr>
                <w:rFonts w:hint="eastAsia" w:ascii="楷体" w:hAnsi="楷体" w:eastAsia="楷体" w:cs="楷体"/>
                <w:bCs/>
                <w:color w:val="auto"/>
                <w:sz w:val="24"/>
                <w:szCs w:val="24"/>
              </w:rPr>
            </w:pPr>
          </w:p>
        </w:tc>
      </w:tr>
      <w:tr w14:paraId="08E53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799" w:type="dxa"/>
            <w:tcBorders>
              <w:right w:val="single" w:color="auto" w:sz="4" w:space="0"/>
            </w:tcBorders>
            <w:vAlign w:val="center"/>
          </w:tcPr>
          <w:p w14:paraId="6D7F5D88">
            <w:pPr>
              <w:spacing w:line="4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5</w:t>
            </w:r>
          </w:p>
        </w:tc>
        <w:tc>
          <w:tcPr>
            <w:tcW w:w="2246" w:type="dxa"/>
            <w:tcBorders>
              <w:left w:val="single" w:color="auto" w:sz="4" w:space="0"/>
            </w:tcBorders>
            <w:vAlign w:val="center"/>
          </w:tcPr>
          <w:p w14:paraId="4A3412B5">
            <w:pPr>
              <w:spacing w:line="400" w:lineRule="exact"/>
              <w:jc w:val="center"/>
              <w:rPr>
                <w:rFonts w:hint="default" w:ascii="楷体" w:hAnsi="楷体" w:eastAsia="楷体" w:cs="楷体"/>
                <w:bCs/>
                <w:color w:val="auto"/>
                <w:sz w:val="24"/>
                <w:szCs w:val="24"/>
                <w:lang w:val="en-US"/>
              </w:rPr>
            </w:pPr>
            <w:r>
              <w:rPr>
                <w:rFonts w:hint="eastAsia" w:ascii="楷体" w:hAnsi="楷体" w:eastAsia="楷体" w:cs="楷体"/>
                <w:bCs/>
                <w:color w:val="auto"/>
                <w:sz w:val="24"/>
                <w:szCs w:val="24"/>
              </w:rPr>
              <w:t>完成项目</w:t>
            </w:r>
            <w:r>
              <w:rPr>
                <w:rFonts w:hint="eastAsia" w:ascii="楷体" w:hAnsi="楷体" w:eastAsia="楷体" w:cs="楷体"/>
                <w:bCs/>
                <w:color w:val="auto"/>
                <w:sz w:val="24"/>
                <w:szCs w:val="24"/>
                <w:lang w:val="en-US" w:eastAsia="zh-CN"/>
              </w:rPr>
              <w:t>可行性研究报告审查并出具意见所需时间</w:t>
            </w:r>
          </w:p>
        </w:tc>
        <w:tc>
          <w:tcPr>
            <w:tcW w:w="6134" w:type="dxa"/>
            <w:vAlign w:val="center"/>
          </w:tcPr>
          <w:p w14:paraId="4ABE7D99">
            <w:pPr>
              <w:spacing w:line="400" w:lineRule="exact"/>
              <w:jc w:val="center"/>
              <w:rPr>
                <w:rFonts w:hint="eastAsia" w:ascii="楷体" w:hAnsi="楷体" w:eastAsia="楷体" w:cs="楷体"/>
                <w:bCs/>
                <w:color w:val="auto"/>
                <w:sz w:val="24"/>
                <w:szCs w:val="24"/>
              </w:rPr>
            </w:pPr>
          </w:p>
        </w:tc>
      </w:tr>
      <w:tr w14:paraId="398C9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3045" w:type="dxa"/>
            <w:gridSpan w:val="2"/>
            <w:vAlign w:val="center"/>
          </w:tcPr>
          <w:p w14:paraId="5CF7FFF7">
            <w:pPr>
              <w:spacing w:line="400" w:lineRule="exact"/>
              <w:jc w:val="center"/>
              <w:rPr>
                <w:rFonts w:hint="eastAsia" w:ascii="楷体" w:hAnsi="楷体" w:eastAsia="楷体" w:cs="楷体"/>
                <w:bCs/>
                <w:color w:val="auto"/>
                <w:sz w:val="24"/>
                <w:szCs w:val="24"/>
              </w:rPr>
            </w:pPr>
            <w:r>
              <w:rPr>
                <w:rFonts w:ascii="楷体" w:hAnsi="楷体" w:eastAsia="楷体" w:cs="楷体"/>
                <w:bCs/>
                <w:color w:val="auto"/>
                <w:sz w:val="24"/>
                <w:szCs w:val="24"/>
              </w:rPr>
              <w:t>其他说明</w:t>
            </w:r>
            <w:r>
              <w:rPr>
                <w:rFonts w:hint="eastAsia" w:ascii="楷体" w:hAnsi="楷体" w:eastAsia="楷体" w:cs="楷体"/>
                <w:bCs/>
                <w:color w:val="auto"/>
                <w:sz w:val="24"/>
                <w:szCs w:val="24"/>
              </w:rPr>
              <w:t>（报价人仅可做有利于询价单位的说明）</w:t>
            </w:r>
          </w:p>
        </w:tc>
        <w:tc>
          <w:tcPr>
            <w:tcW w:w="6134" w:type="dxa"/>
          </w:tcPr>
          <w:p w14:paraId="31237D59">
            <w:pPr>
              <w:spacing w:line="400" w:lineRule="exact"/>
              <w:jc w:val="center"/>
              <w:rPr>
                <w:rFonts w:hint="eastAsia" w:ascii="楷体" w:hAnsi="楷体" w:eastAsia="楷体" w:cs="楷体"/>
                <w:bCs/>
                <w:color w:val="auto"/>
                <w:sz w:val="24"/>
                <w:szCs w:val="24"/>
              </w:rPr>
            </w:pPr>
          </w:p>
        </w:tc>
      </w:tr>
      <w:tr w14:paraId="4AD55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6" w:hRule="atLeast"/>
        </w:trPr>
        <w:tc>
          <w:tcPr>
            <w:tcW w:w="9179" w:type="dxa"/>
            <w:gridSpan w:val="3"/>
            <w:vAlign w:val="center"/>
          </w:tcPr>
          <w:p w14:paraId="61BA8035">
            <w:pPr>
              <w:spacing w:line="4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以上合计第一次总报价：                           （大写）￥：   （小写）</w:t>
            </w:r>
          </w:p>
        </w:tc>
      </w:tr>
    </w:tbl>
    <w:p w14:paraId="7546D706">
      <w:pPr>
        <w:rPr>
          <w:rFonts w:hint="eastAsia" w:ascii="楷体" w:hAnsi="楷体" w:eastAsia="楷体" w:cs="楷体"/>
          <w:color w:val="auto"/>
          <w:sz w:val="24"/>
          <w:szCs w:val="24"/>
        </w:rPr>
      </w:pPr>
      <w:r>
        <w:rPr>
          <w:rFonts w:hint="eastAsia" w:ascii="楷体" w:hAnsi="楷体" w:eastAsia="楷体" w:cs="楷体"/>
          <w:color w:val="auto"/>
          <w:sz w:val="24"/>
          <w:szCs w:val="24"/>
        </w:rPr>
        <w:br w:type="page"/>
      </w:r>
    </w:p>
    <w:p w14:paraId="39B3F731">
      <w:pPr>
        <w:rPr>
          <w:rFonts w:hint="eastAsia" w:ascii="楷体" w:hAnsi="楷体" w:eastAsia="楷体" w:cs="楷体"/>
          <w:color w:val="auto"/>
          <w:sz w:val="24"/>
          <w:szCs w:val="24"/>
        </w:rPr>
      </w:pPr>
    </w:p>
    <w:p w14:paraId="481EEFF0">
      <w:pPr>
        <w:rPr>
          <w:rFonts w:hint="eastAsia" w:ascii="楷体" w:hAnsi="楷体" w:eastAsia="楷体" w:cs="楷体"/>
          <w:color w:val="auto"/>
          <w:sz w:val="24"/>
          <w:szCs w:val="24"/>
        </w:rPr>
      </w:pPr>
    </w:p>
    <w:p w14:paraId="65E79B8F">
      <w:pPr>
        <w:pStyle w:val="2"/>
        <w:spacing w:before="0" w:after="0" w:line="240" w:lineRule="auto"/>
        <w:ind w:firstLine="3614" w:firstLineChars="1500"/>
        <w:rPr>
          <w:rFonts w:hint="eastAsia" w:ascii="楷体" w:hAnsi="楷体" w:eastAsia="楷体" w:cs="楷体"/>
          <w:color w:val="auto"/>
          <w:sz w:val="24"/>
          <w:szCs w:val="24"/>
        </w:rPr>
      </w:pPr>
      <w:bookmarkStart w:id="37" w:name="_Toc18568"/>
      <w:r>
        <w:rPr>
          <w:rFonts w:hint="eastAsia" w:ascii="楷体" w:hAnsi="楷体" w:eastAsia="楷体" w:cs="楷体"/>
          <w:color w:val="auto"/>
          <w:sz w:val="24"/>
          <w:szCs w:val="24"/>
        </w:rPr>
        <w:t>报价承诺函</w:t>
      </w:r>
      <w:bookmarkEnd w:id="20"/>
      <w:bookmarkEnd w:id="21"/>
      <w:bookmarkEnd w:id="36"/>
      <w:bookmarkEnd w:id="37"/>
    </w:p>
    <w:p w14:paraId="0147A0D5">
      <w:pPr>
        <w:pStyle w:val="2"/>
        <w:spacing w:before="0" w:after="0" w:line="240" w:lineRule="auto"/>
        <w:rPr>
          <w:rFonts w:hint="eastAsia" w:ascii="楷体" w:hAnsi="楷体" w:eastAsia="楷体" w:cs="楷体"/>
          <w:b w:val="0"/>
          <w:color w:val="auto"/>
          <w:sz w:val="24"/>
          <w:szCs w:val="24"/>
        </w:rPr>
      </w:pPr>
    </w:p>
    <w:p w14:paraId="33F1C3BA">
      <w:pPr>
        <w:pStyle w:val="2"/>
        <w:spacing w:before="0" w:after="0" w:line="240" w:lineRule="auto"/>
        <w:rPr>
          <w:rFonts w:hint="eastAsia" w:ascii="楷体" w:hAnsi="楷体" w:eastAsia="楷体" w:cs="楷体"/>
          <w:b w:val="0"/>
          <w:color w:val="auto"/>
          <w:sz w:val="24"/>
          <w:szCs w:val="24"/>
        </w:rPr>
      </w:pPr>
      <w:bookmarkStart w:id="38" w:name="_Toc18810"/>
      <w:bookmarkStart w:id="39" w:name="_Toc12119"/>
      <w:r>
        <w:rPr>
          <w:rFonts w:hint="eastAsia" w:ascii="楷体" w:hAnsi="楷体" w:eastAsia="楷体" w:cs="楷体"/>
          <w:b w:val="0"/>
          <w:color w:val="auto"/>
          <w:sz w:val="24"/>
          <w:szCs w:val="24"/>
          <w:lang w:eastAsia="zh-CN"/>
        </w:rPr>
        <w:t>海南洋浦陆海能源发展有限公司</w:t>
      </w:r>
      <w:r>
        <w:rPr>
          <w:rFonts w:hint="eastAsia" w:ascii="楷体" w:hAnsi="楷体" w:eastAsia="楷体" w:cs="楷体"/>
          <w:b w:val="0"/>
          <w:color w:val="auto"/>
          <w:sz w:val="24"/>
          <w:szCs w:val="24"/>
        </w:rPr>
        <w:t>：</w:t>
      </w:r>
      <w:bookmarkEnd w:id="38"/>
      <w:bookmarkEnd w:id="39"/>
    </w:p>
    <w:p w14:paraId="5CEE80D3">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 xml:space="preserve">    我单位对贵单位所发的公开询价报价文件所有条款予以确认，并进一步承诺如下：</w:t>
      </w:r>
    </w:p>
    <w:p w14:paraId="44D10438">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1、我单位所报的单价，已充分考虑了公开询价报价文件及采购合同要求成交单位应承担的所有义务及风险，由此造成或可能造成的费用我方已包含在报价中。</w:t>
      </w:r>
    </w:p>
    <w:p w14:paraId="219BA72C">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2、若我单位成交，除非贵单位要求，我单位将不主动要求调整采购合同条款。否则，贵单位可以随时取消我单位的成交资格。</w:t>
      </w:r>
    </w:p>
    <w:p w14:paraId="6B68F9C1">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3、我单位承诺不会因贵方对采购合同中的承包范围的调整而产生的异议。</w:t>
      </w:r>
    </w:p>
    <w:p w14:paraId="354258DA">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4、我单位的《报价承诺函》，将作为合同的组成部分。</w:t>
      </w:r>
    </w:p>
    <w:p w14:paraId="4D5760DC">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5、若我单位没有成交，我单位将不要求贵方做任何解释。</w:t>
      </w:r>
    </w:p>
    <w:p w14:paraId="2C2BC492">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6、若我单位成交，我单位同意本确认函及所有文件作为合同的组成部分，与供货合同具有同样的法律效力。</w:t>
      </w:r>
    </w:p>
    <w:p w14:paraId="2620D70E">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7、我单位将以良好的服务态度、饱满的工作热情和遵纪守法的工作作风做好对服务，认真履行材料验收程序并积极配合质量检查工作，让贵司满意。</w:t>
      </w:r>
    </w:p>
    <w:p w14:paraId="54E6E889">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8、我单位郑重承诺：我单位对公开询价报价单位提供的公开询价报价文件及合同条款完全接受和遵守。</w:t>
      </w:r>
    </w:p>
    <w:p w14:paraId="3973AF4E">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9、我单位承诺同意按照贵单位要求办理结算及支付方式；承诺按所提供本单位银行开户许可证的开户行名称及帐号接收结算款，保证不使用委托收款。</w:t>
      </w:r>
    </w:p>
    <w:p w14:paraId="26190D84">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10、我单位承诺具备国家有关部门、行业要求必须取得的相关认证及其他经营许可；在有关部门和行业的监督检查中没有不良记录；与贵公司没有不良合作记录。</w:t>
      </w:r>
    </w:p>
    <w:p w14:paraId="2A28540D">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11、我单位承诺具备良好的商业信誉及履行合同所必需的设备和专业技术能力。</w:t>
      </w:r>
    </w:p>
    <w:p w14:paraId="682D3B0E">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12、我单位承诺未被责令停业，暂扣或者吊销执照或许可证，或吊销资质证书。</w:t>
      </w:r>
    </w:p>
    <w:p w14:paraId="2A3F7B1A">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13、我单位承诺</w:t>
      </w:r>
      <w:r>
        <w:rPr>
          <w:rFonts w:ascii="楷体" w:hAnsi="楷体" w:eastAsia="楷体" w:cs="楷体"/>
          <w:bCs/>
          <w:color w:val="auto"/>
          <w:sz w:val="24"/>
          <w:szCs w:val="24"/>
        </w:rPr>
        <w:t>不存在进入清算程序，或被宣告破产，或其他丧失履约能力的情形</w:t>
      </w:r>
      <w:r>
        <w:rPr>
          <w:rFonts w:hint="eastAsia" w:ascii="楷体" w:hAnsi="楷体" w:eastAsia="楷体" w:cs="楷体"/>
          <w:bCs/>
          <w:color w:val="auto"/>
          <w:sz w:val="24"/>
          <w:szCs w:val="24"/>
        </w:rPr>
        <w:t>。</w:t>
      </w:r>
    </w:p>
    <w:p w14:paraId="60626750">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14、我单位承诺</w:t>
      </w:r>
      <w:r>
        <w:rPr>
          <w:rFonts w:ascii="楷体" w:hAnsi="楷体" w:eastAsia="楷体" w:cs="楷体"/>
          <w:bCs/>
          <w:color w:val="auto"/>
          <w:sz w:val="24"/>
          <w:szCs w:val="24"/>
        </w:rPr>
        <w:t>在近三年内未有骗取中标或严重违约或重大服务质量问题的；</w:t>
      </w:r>
    </w:p>
    <w:p w14:paraId="3A226438">
      <w:pPr>
        <w:spacing w:line="400" w:lineRule="exact"/>
        <w:rPr>
          <w:rFonts w:hint="eastAsia" w:ascii="楷体" w:hAnsi="楷体" w:eastAsia="楷体" w:cs="楷体"/>
          <w:bCs/>
          <w:color w:val="auto"/>
          <w:sz w:val="24"/>
          <w:szCs w:val="24"/>
        </w:rPr>
      </w:pPr>
      <w:r>
        <w:rPr>
          <w:rFonts w:hint="eastAsia" w:ascii="楷体" w:hAnsi="楷体" w:eastAsia="楷体" w:cs="楷体"/>
          <w:bCs/>
          <w:color w:val="auto"/>
          <w:sz w:val="24"/>
          <w:szCs w:val="24"/>
        </w:rPr>
        <w:t>15、我单位承诺</w:t>
      </w:r>
      <w:r>
        <w:rPr>
          <w:rFonts w:ascii="楷体" w:hAnsi="楷体" w:eastAsia="楷体" w:cs="楷体"/>
          <w:bCs/>
          <w:color w:val="auto"/>
          <w:sz w:val="24"/>
          <w:szCs w:val="24"/>
        </w:rPr>
        <w:t>在近三年内报价人或其法定代表人、拟委任的项目负责人未有行贿犯罪行为的。</w:t>
      </w:r>
    </w:p>
    <w:p w14:paraId="546B915C">
      <w:pPr>
        <w:spacing w:line="400" w:lineRule="exact"/>
        <w:rPr>
          <w:rFonts w:hint="eastAsia" w:ascii="楷体" w:hAnsi="楷体" w:eastAsia="楷体" w:cs="楷体"/>
          <w:bCs/>
          <w:color w:val="auto"/>
          <w:sz w:val="24"/>
          <w:szCs w:val="24"/>
        </w:rPr>
      </w:pPr>
    </w:p>
    <w:p w14:paraId="3DB4482B">
      <w:pPr>
        <w:spacing w:line="400" w:lineRule="exact"/>
        <w:ind w:firstLine="4080" w:firstLineChars="1700"/>
        <w:rPr>
          <w:rFonts w:hint="eastAsia" w:ascii="楷体" w:hAnsi="楷体" w:eastAsia="楷体" w:cs="楷体"/>
          <w:bCs/>
          <w:color w:val="auto"/>
          <w:sz w:val="24"/>
          <w:szCs w:val="24"/>
        </w:rPr>
      </w:pPr>
      <w:r>
        <w:rPr>
          <w:rFonts w:hint="eastAsia" w:ascii="楷体" w:hAnsi="楷体" w:eastAsia="楷体" w:cs="楷体"/>
          <w:bCs/>
          <w:color w:val="auto"/>
          <w:sz w:val="24"/>
          <w:szCs w:val="24"/>
        </w:rPr>
        <w:t>报价单位：                  （章）</w:t>
      </w:r>
    </w:p>
    <w:p w14:paraId="484179FB">
      <w:pPr>
        <w:spacing w:line="400" w:lineRule="exact"/>
        <w:ind w:firstLine="4080" w:firstLineChars="1700"/>
        <w:rPr>
          <w:rFonts w:hint="eastAsia" w:ascii="楷体" w:hAnsi="楷体" w:eastAsia="楷体" w:cs="楷体"/>
          <w:bCs/>
          <w:color w:val="auto"/>
          <w:sz w:val="24"/>
          <w:szCs w:val="24"/>
        </w:rPr>
      </w:pPr>
      <w:r>
        <w:rPr>
          <w:rFonts w:hint="eastAsia" w:ascii="楷体" w:hAnsi="楷体" w:eastAsia="楷体" w:cs="楷体"/>
          <w:bCs/>
          <w:color w:val="auto"/>
          <w:sz w:val="24"/>
          <w:szCs w:val="24"/>
        </w:rPr>
        <w:t>法人代表/授权委托人：    （章/签字）</w:t>
      </w:r>
    </w:p>
    <w:p w14:paraId="12F15C4A">
      <w:pPr>
        <w:spacing w:line="400" w:lineRule="exact"/>
        <w:ind w:firstLine="4080" w:firstLineChars="1700"/>
        <w:rPr>
          <w:rFonts w:hint="eastAsia" w:ascii="楷体" w:hAnsi="楷体" w:eastAsia="楷体" w:cs="楷体"/>
          <w:color w:val="auto"/>
        </w:rPr>
      </w:pPr>
      <w:r>
        <w:rPr>
          <w:rFonts w:hint="eastAsia" w:ascii="楷体" w:hAnsi="楷体" w:eastAsia="楷体" w:cs="楷体"/>
          <w:bCs/>
          <w:color w:val="auto"/>
          <w:sz w:val="24"/>
          <w:szCs w:val="24"/>
        </w:rPr>
        <w:t>日    期：</w:t>
      </w:r>
    </w:p>
    <w:p w14:paraId="506E4F02">
      <w:pPr>
        <w:rPr>
          <w:rFonts w:hint="eastAsia" w:ascii="楷体" w:hAnsi="楷体" w:eastAsia="楷体" w:cs="楷体"/>
          <w:color w:val="auto"/>
        </w:rPr>
      </w:pPr>
    </w:p>
    <w:p w14:paraId="32D9EE8C">
      <w:pPr>
        <w:rPr>
          <w:rFonts w:hint="eastAsia" w:ascii="楷体" w:hAnsi="楷体" w:eastAsia="楷体" w:cs="楷体"/>
          <w:color w:val="auto"/>
          <w:sz w:val="24"/>
          <w:szCs w:val="24"/>
        </w:rPr>
      </w:pPr>
      <w:bookmarkStart w:id="40" w:name="_Toc343692951"/>
      <w:bookmarkStart w:id="41" w:name="_Toc343700749"/>
      <w:r>
        <w:rPr>
          <w:rFonts w:hint="eastAsia" w:ascii="楷体" w:hAnsi="楷体" w:eastAsia="楷体" w:cs="楷体"/>
          <w:color w:val="auto"/>
          <w:sz w:val="24"/>
          <w:szCs w:val="24"/>
        </w:rPr>
        <w:br w:type="page"/>
      </w:r>
    </w:p>
    <w:p w14:paraId="6DA13D22">
      <w:pPr>
        <w:pStyle w:val="2"/>
        <w:spacing w:before="0" w:line="240" w:lineRule="auto"/>
        <w:rPr>
          <w:rFonts w:hint="eastAsia" w:ascii="楷体" w:hAnsi="楷体" w:eastAsia="楷体" w:cs="楷体"/>
          <w:color w:val="auto"/>
          <w:sz w:val="24"/>
          <w:szCs w:val="24"/>
        </w:rPr>
      </w:pPr>
      <w:bookmarkStart w:id="42" w:name="_Toc19863"/>
      <w:r>
        <w:rPr>
          <w:rFonts w:hint="eastAsia" w:ascii="楷体" w:hAnsi="楷体" w:eastAsia="楷体" w:cs="楷体"/>
          <w:color w:val="auto"/>
          <w:sz w:val="24"/>
          <w:szCs w:val="24"/>
        </w:rPr>
        <w:t xml:space="preserve">             </w:t>
      </w:r>
    </w:p>
    <w:p w14:paraId="5DB33E1B">
      <w:pPr>
        <w:pStyle w:val="2"/>
        <w:spacing w:before="0" w:line="240" w:lineRule="auto"/>
        <w:jc w:val="center"/>
        <w:rPr>
          <w:rFonts w:hint="eastAsia" w:ascii="楷体" w:hAnsi="楷体" w:eastAsia="楷体" w:cs="楷体"/>
          <w:color w:val="auto"/>
          <w:sz w:val="24"/>
          <w:szCs w:val="24"/>
        </w:rPr>
      </w:pPr>
      <w:bookmarkStart w:id="43" w:name="_Toc1073"/>
      <w:r>
        <w:rPr>
          <w:rFonts w:hint="eastAsia" w:ascii="楷体" w:hAnsi="楷体" w:eastAsia="楷体" w:cs="楷体"/>
          <w:color w:val="auto"/>
          <w:sz w:val="24"/>
          <w:szCs w:val="24"/>
        </w:rPr>
        <w:t>法定代表人身份证明</w:t>
      </w:r>
      <w:bookmarkEnd w:id="43"/>
    </w:p>
    <w:p w14:paraId="40627C48">
      <w:pPr>
        <w:spacing w:line="433" w:lineRule="auto"/>
        <w:ind w:left="420" w:leftChars="200" w:right="9290"/>
        <w:rPr>
          <w:rFonts w:hint="eastAsia" w:ascii="宋体" w:hAnsi="宋体" w:cs="宋体"/>
          <w:color w:val="auto"/>
        </w:rPr>
      </w:pPr>
      <w:r>
        <w:rPr>
          <w:rFonts w:hint="eastAsia" w:ascii="宋体" w:hAnsi="宋体" w:cs="宋体"/>
          <w:color w:val="auto"/>
          <w:sz w:val="20"/>
        </w:rPr>
        <w:t xml:space="preserve"> </w:t>
      </w:r>
      <w:r>
        <w:rPr>
          <w:rFonts w:hint="eastAsia" w:ascii="宋体" w:hAnsi="宋体" w:cs="宋体"/>
          <w:color w:val="auto"/>
        </w:rPr>
        <w:t xml:space="preserve"> </w:t>
      </w:r>
    </w:p>
    <w:p w14:paraId="1D46B445">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报价单位名称：                         </w:t>
      </w:r>
    </w:p>
    <w:p w14:paraId="3C7E73F0">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姓名：                </w:t>
      </w:r>
    </w:p>
    <w:p w14:paraId="5A3292DB">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性别：              </w:t>
      </w:r>
    </w:p>
    <w:p w14:paraId="6138BF23">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年龄：              </w:t>
      </w:r>
    </w:p>
    <w:p w14:paraId="59098AEA">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职务：               </w:t>
      </w:r>
    </w:p>
    <w:p w14:paraId="5E230DBF">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系                             （投标人名称）的法定代表人，特此证明。 </w:t>
      </w:r>
    </w:p>
    <w:p w14:paraId="01D330F5">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 </w:t>
      </w:r>
    </w:p>
    <w:p w14:paraId="1E09CEF1">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附：法定代表人身份证复印件。 </w:t>
      </w:r>
    </w:p>
    <w:p w14:paraId="7954C645">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 </w:t>
      </w:r>
    </w:p>
    <w:p w14:paraId="44474A4A">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 </w:t>
      </w:r>
    </w:p>
    <w:p w14:paraId="7DF9D138">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 xml:space="preserve"> </w:t>
      </w:r>
    </w:p>
    <w:p w14:paraId="73DC5776">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ab/>
      </w:r>
      <w:r>
        <w:rPr>
          <w:rFonts w:hint="eastAsia" w:ascii="楷体" w:hAnsi="楷体" w:eastAsia="楷体" w:cs="楷体"/>
          <w:color w:val="auto"/>
          <w:sz w:val="24"/>
          <w:szCs w:val="24"/>
        </w:rPr>
        <w:t xml:space="preserve">                   </w:t>
      </w:r>
    </w:p>
    <w:p w14:paraId="67144F76">
      <w:pPr>
        <w:snapToGrid w:val="0"/>
        <w:spacing w:line="480" w:lineRule="auto"/>
        <w:ind w:firstLine="480" w:firstLineChars="200"/>
        <w:jc w:val="left"/>
        <w:rPr>
          <w:rFonts w:hint="eastAsia" w:ascii="楷体" w:hAnsi="楷体" w:eastAsia="楷体" w:cs="楷体"/>
          <w:color w:val="auto"/>
          <w:sz w:val="24"/>
          <w:szCs w:val="24"/>
        </w:rPr>
      </w:pPr>
    </w:p>
    <w:p w14:paraId="11395CFA">
      <w:pPr>
        <w:snapToGrid w:val="0"/>
        <w:spacing w:line="480" w:lineRule="auto"/>
        <w:ind w:firstLine="480" w:firstLineChars="200"/>
        <w:jc w:val="left"/>
        <w:rPr>
          <w:rFonts w:hint="eastAsia" w:ascii="楷体" w:hAnsi="楷体" w:eastAsia="楷体" w:cs="楷体"/>
          <w:color w:val="auto"/>
          <w:sz w:val="24"/>
          <w:szCs w:val="24"/>
        </w:rPr>
      </w:pPr>
    </w:p>
    <w:p w14:paraId="60B0A701">
      <w:pPr>
        <w:snapToGrid w:val="0"/>
        <w:spacing w:line="480" w:lineRule="auto"/>
        <w:ind w:firstLine="480" w:firstLineChars="200"/>
        <w:jc w:val="left"/>
        <w:rPr>
          <w:rFonts w:hint="eastAsia" w:ascii="楷体" w:hAnsi="楷体" w:eastAsia="楷体" w:cs="楷体"/>
          <w:color w:val="auto"/>
          <w:sz w:val="24"/>
          <w:szCs w:val="24"/>
        </w:rPr>
      </w:pPr>
    </w:p>
    <w:p w14:paraId="7403B670">
      <w:pPr>
        <w:snapToGrid w:val="0"/>
        <w:spacing w:line="480" w:lineRule="auto"/>
        <w:ind w:firstLine="480" w:firstLineChars="200"/>
        <w:jc w:val="right"/>
        <w:rPr>
          <w:rFonts w:hint="eastAsia" w:ascii="楷体" w:hAnsi="楷体" w:eastAsia="楷体" w:cs="楷体"/>
          <w:color w:val="auto"/>
          <w:sz w:val="24"/>
          <w:szCs w:val="24"/>
        </w:rPr>
      </w:pPr>
      <w:r>
        <w:rPr>
          <w:rFonts w:hint="eastAsia" w:ascii="楷体" w:hAnsi="楷体" w:eastAsia="楷体" w:cs="楷体"/>
          <w:color w:val="auto"/>
          <w:sz w:val="24"/>
          <w:szCs w:val="24"/>
        </w:rPr>
        <w:t xml:space="preserve">报价单位：           </w:t>
      </w:r>
      <w:r>
        <w:rPr>
          <w:rFonts w:hint="eastAsia" w:ascii="楷体" w:hAnsi="楷体" w:eastAsia="楷体" w:cs="楷体"/>
          <w:color w:val="auto"/>
          <w:sz w:val="24"/>
          <w:szCs w:val="24"/>
        </w:rPr>
        <w:tab/>
      </w:r>
      <w:r>
        <w:rPr>
          <w:rFonts w:hint="eastAsia" w:ascii="楷体" w:hAnsi="楷体" w:eastAsia="楷体" w:cs="楷体"/>
          <w:color w:val="auto"/>
          <w:sz w:val="24"/>
          <w:szCs w:val="24"/>
        </w:rPr>
        <w:t xml:space="preserve">          （单位章）</w:t>
      </w:r>
    </w:p>
    <w:p w14:paraId="4D7AE82A">
      <w:pPr>
        <w:snapToGrid w:val="0"/>
        <w:spacing w:line="480" w:lineRule="auto"/>
        <w:ind w:firstLine="3600" w:firstLineChars="1500"/>
        <w:rPr>
          <w:rFonts w:hint="eastAsia" w:ascii="楷体" w:hAnsi="楷体" w:eastAsia="楷体" w:cs="楷体"/>
          <w:color w:val="auto"/>
          <w:sz w:val="24"/>
          <w:szCs w:val="24"/>
        </w:rPr>
      </w:pPr>
      <w:r>
        <w:rPr>
          <w:rFonts w:hint="eastAsia" w:ascii="楷体" w:hAnsi="楷体" w:eastAsia="楷体" w:cs="楷体"/>
          <w:color w:val="auto"/>
          <w:sz w:val="24"/>
          <w:szCs w:val="24"/>
        </w:rPr>
        <w:t xml:space="preserve">日期： </w:t>
      </w:r>
    </w:p>
    <w:p w14:paraId="7F29684C">
      <w:pPr>
        <w:rPr>
          <w:rFonts w:hint="eastAsia" w:ascii="楷体" w:hAnsi="楷体" w:eastAsia="楷体" w:cs="楷体"/>
          <w:color w:val="auto"/>
          <w:sz w:val="24"/>
          <w:szCs w:val="24"/>
        </w:rPr>
      </w:pPr>
    </w:p>
    <w:p w14:paraId="72933207">
      <w:pPr>
        <w:rPr>
          <w:rFonts w:hint="eastAsia" w:ascii="楷体" w:hAnsi="楷体" w:eastAsia="楷体" w:cs="楷体"/>
          <w:color w:val="auto"/>
          <w:sz w:val="24"/>
          <w:szCs w:val="24"/>
        </w:rPr>
      </w:pPr>
      <w:r>
        <w:rPr>
          <w:rFonts w:hint="eastAsia" w:ascii="楷体" w:hAnsi="楷体" w:eastAsia="楷体" w:cs="楷体"/>
          <w:color w:val="auto"/>
          <w:sz w:val="24"/>
          <w:szCs w:val="24"/>
        </w:rPr>
        <w:br w:type="page"/>
      </w:r>
    </w:p>
    <w:p w14:paraId="13F331A7">
      <w:pPr>
        <w:pStyle w:val="2"/>
        <w:spacing w:before="0" w:line="240" w:lineRule="auto"/>
        <w:jc w:val="center"/>
        <w:rPr>
          <w:rFonts w:hint="eastAsia" w:ascii="楷体" w:hAnsi="楷体" w:eastAsia="楷体" w:cs="楷体"/>
          <w:color w:val="auto"/>
          <w:sz w:val="24"/>
          <w:szCs w:val="24"/>
        </w:rPr>
      </w:pPr>
      <w:bookmarkStart w:id="44" w:name="_Toc7168"/>
      <w:r>
        <w:rPr>
          <w:rFonts w:hint="eastAsia" w:ascii="楷体" w:hAnsi="楷体" w:eastAsia="楷体" w:cs="楷体"/>
          <w:color w:val="auto"/>
          <w:sz w:val="24"/>
          <w:szCs w:val="24"/>
        </w:rPr>
        <w:t>法定代表人授权书</w:t>
      </w:r>
      <w:bookmarkEnd w:id="40"/>
      <w:bookmarkEnd w:id="41"/>
      <w:bookmarkEnd w:id="42"/>
      <w:r>
        <w:rPr>
          <w:rFonts w:hint="eastAsia" w:ascii="楷体" w:hAnsi="楷体" w:eastAsia="楷体" w:cs="楷体"/>
          <w:color w:val="auto"/>
          <w:sz w:val="24"/>
          <w:szCs w:val="24"/>
        </w:rPr>
        <w:t>（适用于有授权委托人的情况）</w:t>
      </w:r>
      <w:bookmarkEnd w:id="44"/>
    </w:p>
    <w:p w14:paraId="73C497ED">
      <w:pPr>
        <w:adjustRightInd w:val="0"/>
        <w:snapToGrid w:val="0"/>
        <w:spacing w:line="480" w:lineRule="auto"/>
        <w:rPr>
          <w:rFonts w:hint="eastAsia" w:ascii="楷体" w:hAnsi="楷体" w:eastAsia="楷体" w:cs="楷体"/>
          <w:color w:val="auto"/>
          <w:sz w:val="24"/>
          <w:szCs w:val="24"/>
        </w:rPr>
      </w:pPr>
    </w:p>
    <w:p w14:paraId="58054B25">
      <w:pPr>
        <w:adjustRightInd w:val="0"/>
        <w:snapToGrid w:val="0"/>
        <w:spacing w:line="480" w:lineRule="auto"/>
        <w:rPr>
          <w:rFonts w:hint="eastAsia" w:ascii="楷体" w:hAnsi="楷体" w:eastAsia="楷体" w:cs="楷体"/>
          <w:color w:val="auto"/>
          <w:sz w:val="24"/>
          <w:szCs w:val="24"/>
          <w:lang w:eastAsia="zh-CN"/>
        </w:rPr>
      </w:pPr>
      <w:r>
        <w:rPr>
          <w:rFonts w:hint="eastAsia" w:ascii="楷体" w:hAnsi="楷体" w:eastAsia="楷体" w:cs="楷体"/>
          <w:color w:val="auto"/>
          <w:sz w:val="24"/>
          <w:szCs w:val="24"/>
        </w:rPr>
        <w:t>致：</w:t>
      </w:r>
      <w:r>
        <w:rPr>
          <w:rFonts w:hint="eastAsia" w:ascii="楷体" w:hAnsi="楷体" w:eastAsia="楷体" w:cs="楷体"/>
          <w:color w:val="auto"/>
          <w:sz w:val="24"/>
          <w:szCs w:val="24"/>
          <w:lang w:eastAsia="zh-CN"/>
        </w:rPr>
        <w:t>海南洋浦陆海能源发展有限公司</w:t>
      </w:r>
    </w:p>
    <w:p w14:paraId="5E20A195">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本授权书声明：位于</w:t>
      </w:r>
      <w:r>
        <w:rPr>
          <w:rFonts w:hint="eastAsia" w:ascii="楷体" w:hAnsi="楷体" w:eastAsia="楷体" w:cs="楷体"/>
          <w:color w:val="auto"/>
          <w:sz w:val="24"/>
          <w:szCs w:val="24"/>
          <w:u w:val="single"/>
        </w:rPr>
        <w:t xml:space="preserve">（公司地址）               </w:t>
      </w:r>
      <w:r>
        <w:rPr>
          <w:rFonts w:hint="eastAsia" w:ascii="楷体" w:hAnsi="楷体" w:eastAsia="楷体" w:cs="楷体"/>
          <w:color w:val="auto"/>
          <w:sz w:val="24"/>
          <w:szCs w:val="24"/>
        </w:rPr>
        <w:t>的</w:t>
      </w:r>
      <w:r>
        <w:rPr>
          <w:rFonts w:hint="eastAsia" w:ascii="楷体" w:hAnsi="楷体" w:eastAsia="楷体" w:cs="楷体"/>
          <w:color w:val="auto"/>
          <w:sz w:val="24"/>
          <w:szCs w:val="24"/>
          <w:u w:val="single"/>
        </w:rPr>
        <w:t xml:space="preserve">（公司名称）    </w:t>
      </w:r>
      <w:r>
        <w:rPr>
          <w:rFonts w:hint="eastAsia" w:ascii="楷体" w:hAnsi="楷体" w:eastAsia="楷体" w:cs="楷体"/>
          <w:color w:val="auto"/>
          <w:sz w:val="24"/>
          <w:szCs w:val="24"/>
        </w:rPr>
        <w:t>的</w:t>
      </w:r>
      <w:r>
        <w:rPr>
          <w:rFonts w:hint="eastAsia" w:ascii="楷体" w:hAnsi="楷体" w:eastAsia="楷体" w:cs="楷体"/>
          <w:color w:val="auto"/>
          <w:sz w:val="24"/>
          <w:szCs w:val="24"/>
          <w:u w:val="single"/>
        </w:rPr>
        <w:t xml:space="preserve">（法定代表人姓名）      </w:t>
      </w:r>
      <w:r>
        <w:rPr>
          <w:rFonts w:hint="eastAsia" w:ascii="楷体" w:hAnsi="楷体" w:eastAsia="楷体" w:cs="楷体"/>
          <w:color w:val="auto"/>
          <w:sz w:val="24"/>
          <w:szCs w:val="24"/>
        </w:rPr>
        <w:t>代表本公司授权</w:t>
      </w:r>
      <w:r>
        <w:rPr>
          <w:rFonts w:hint="eastAsia" w:ascii="楷体" w:hAnsi="楷体" w:eastAsia="楷体" w:cs="楷体"/>
          <w:color w:val="auto"/>
          <w:sz w:val="24"/>
          <w:szCs w:val="24"/>
          <w:u w:val="single"/>
        </w:rPr>
        <w:t xml:space="preserve">（被授权人姓名）      </w:t>
      </w:r>
      <w:r>
        <w:rPr>
          <w:rFonts w:hint="eastAsia" w:ascii="楷体" w:hAnsi="楷体" w:eastAsia="楷体" w:cs="楷体"/>
          <w:color w:val="auto"/>
          <w:sz w:val="24"/>
          <w:szCs w:val="24"/>
        </w:rPr>
        <w:t>为本公司的唯一合法代理人，代表本公司参加</w:t>
      </w:r>
      <w:r>
        <w:rPr>
          <w:rFonts w:hint="eastAsia" w:ascii="楷体" w:hAnsi="楷体" w:eastAsia="楷体" w:cs="楷体"/>
          <w:color w:val="auto"/>
          <w:sz w:val="24"/>
          <w:szCs w:val="24"/>
          <w:lang w:eastAsia="zh-CN"/>
        </w:rPr>
        <w:t>海南洋浦陆海能源发展有限公司</w:t>
      </w:r>
      <w:r>
        <w:rPr>
          <w:rFonts w:hint="default" w:ascii="楷体" w:hAnsi="楷体" w:eastAsia="楷体" w:cs="楷体"/>
          <w:color w:val="auto"/>
          <w:sz w:val="24"/>
          <w:szCs w:val="24"/>
          <w:u w:val="single"/>
          <w:lang w:val="en-US" w:eastAsia="zh-CN"/>
        </w:rPr>
        <w:t>洋浦迎宾馆用户侧储能项目</w:t>
      </w:r>
      <w:r>
        <w:rPr>
          <w:rFonts w:hint="eastAsia" w:ascii="楷体" w:hAnsi="楷体" w:eastAsia="楷体" w:cs="楷体"/>
          <w:color w:val="auto"/>
          <w:sz w:val="24"/>
          <w:szCs w:val="24"/>
          <w:u w:val="single"/>
          <w:lang w:val="en-US" w:eastAsia="zh-CN"/>
        </w:rPr>
        <w:t>可行性研究报告</w:t>
      </w:r>
      <w:r>
        <w:rPr>
          <w:rFonts w:hint="eastAsia" w:ascii="楷体" w:hAnsi="楷体" w:eastAsia="楷体" w:cs="楷体"/>
          <w:color w:val="auto"/>
          <w:sz w:val="24"/>
          <w:szCs w:val="24"/>
        </w:rPr>
        <w:t>采购公开询价报价活动，并在整个公开询价报价采购活动中，以本公司名义全权处理包括递交企业和产品资质材料，确认相关信息， 产品报价、议价，交纳相关费用，签订采购合同，执行和完成采购周期内的售后服务等一切与之有关的事务，并保证所提供的资质证明材料真实、合法、完整、有效。</w:t>
      </w:r>
    </w:p>
    <w:p w14:paraId="24E3B47C">
      <w:pPr>
        <w:snapToGrid w:val="0"/>
        <w:spacing w:line="480" w:lineRule="auto"/>
        <w:ind w:firstLine="584"/>
        <w:jc w:val="left"/>
        <w:rPr>
          <w:rFonts w:hint="eastAsia" w:ascii="楷体" w:hAnsi="楷体" w:eastAsia="楷体" w:cs="楷体"/>
          <w:color w:val="auto"/>
          <w:sz w:val="24"/>
          <w:szCs w:val="24"/>
        </w:rPr>
      </w:pPr>
    </w:p>
    <w:p w14:paraId="4E8FCD57">
      <w:pPr>
        <w:snapToGrid w:val="0"/>
        <w:spacing w:line="480" w:lineRule="auto"/>
        <w:ind w:firstLine="600" w:firstLineChars="250"/>
        <w:rPr>
          <w:rFonts w:hint="eastAsia" w:ascii="楷体" w:hAnsi="楷体" w:eastAsia="楷体" w:cs="楷体"/>
          <w:color w:val="auto"/>
          <w:sz w:val="24"/>
          <w:szCs w:val="24"/>
        </w:rPr>
      </w:pPr>
      <w:r>
        <w:rPr>
          <w:rFonts w:hint="eastAsia" w:ascii="楷体" w:hAnsi="楷体" w:eastAsia="楷体" w:cs="楷体"/>
          <w:color w:val="auto"/>
          <w:sz w:val="24"/>
          <w:szCs w:val="24"/>
        </w:rPr>
        <w:t>本授权书于     年   月   日签字生效，特此声明。</w:t>
      </w:r>
    </w:p>
    <w:p w14:paraId="7DC569B4">
      <w:pPr>
        <w:spacing w:line="480" w:lineRule="auto"/>
        <w:ind w:firstLine="616" w:firstLineChars="257"/>
        <w:rPr>
          <w:rFonts w:hint="eastAsia" w:ascii="楷体" w:hAnsi="楷体" w:eastAsia="楷体" w:cs="楷体"/>
          <w:color w:val="auto"/>
          <w:sz w:val="24"/>
          <w:szCs w:val="24"/>
        </w:rPr>
      </w:pPr>
      <w:r>
        <w:rPr>
          <w:rFonts w:hint="eastAsia" w:ascii="楷体" w:hAnsi="楷体" w:eastAsia="楷体" w:cs="楷体"/>
          <w:color w:val="auto"/>
          <w:sz w:val="24"/>
          <w:szCs w:val="24"/>
        </w:rPr>
        <w:t>授权期限为：   年   月   日起至本次采购期结束。授权期限内无特殊情况不变更合法代理人（被授权人）。</w:t>
      </w:r>
    </w:p>
    <w:p w14:paraId="19751C33">
      <w:pPr>
        <w:spacing w:line="480" w:lineRule="auto"/>
        <w:ind w:firstLine="616" w:firstLineChars="257"/>
        <w:rPr>
          <w:rFonts w:hint="eastAsia" w:ascii="楷体" w:hAnsi="楷体" w:eastAsia="楷体" w:cs="楷体"/>
          <w:color w:val="auto"/>
          <w:sz w:val="24"/>
          <w:szCs w:val="24"/>
        </w:rPr>
      </w:pPr>
    </w:p>
    <w:p w14:paraId="3CC7831B">
      <w:pPr>
        <w:snapToGrid w:val="0"/>
        <w:spacing w:line="480" w:lineRule="auto"/>
        <w:ind w:firstLine="480" w:firstLineChars="200"/>
        <w:jc w:val="left"/>
        <w:rPr>
          <w:rFonts w:hint="eastAsia" w:ascii="楷体" w:hAnsi="楷体" w:eastAsia="楷体" w:cs="楷体"/>
          <w:color w:val="auto"/>
          <w:sz w:val="24"/>
          <w:szCs w:val="24"/>
        </w:rPr>
      </w:pPr>
      <w:r>
        <w:rPr>
          <w:rFonts w:hint="eastAsia" w:ascii="楷体" w:hAnsi="楷体" w:eastAsia="楷体" w:cs="楷体"/>
          <w:color w:val="auto"/>
          <w:sz w:val="24"/>
          <w:szCs w:val="24"/>
        </w:rPr>
        <w:t>附：法定代表人身份证复印件及委托代理人身份证复印件</w:t>
      </w:r>
    </w:p>
    <w:p w14:paraId="4CFD6D96">
      <w:pPr>
        <w:snapToGrid w:val="0"/>
        <w:spacing w:line="480" w:lineRule="auto"/>
        <w:rPr>
          <w:rFonts w:hint="eastAsia" w:ascii="楷体" w:hAnsi="楷体" w:eastAsia="楷体" w:cs="楷体"/>
          <w:color w:val="auto"/>
          <w:sz w:val="24"/>
          <w:szCs w:val="24"/>
        </w:rPr>
      </w:pPr>
      <w:r>
        <w:rPr>
          <w:rFonts w:hint="eastAsia" w:ascii="楷体" w:hAnsi="楷体" w:eastAsia="楷体" w:cs="楷体"/>
          <w:color w:val="auto"/>
          <w:sz w:val="24"/>
          <w:szCs w:val="24"/>
        </w:rPr>
        <w:t xml:space="preserve"> </w:t>
      </w:r>
    </w:p>
    <w:p w14:paraId="3161F7F9">
      <w:pPr>
        <w:snapToGrid w:val="0"/>
        <w:spacing w:line="480" w:lineRule="auto"/>
        <w:ind w:firstLine="480" w:firstLineChars="200"/>
        <w:jc w:val="center"/>
        <w:rPr>
          <w:rFonts w:hint="eastAsia" w:ascii="楷体" w:hAnsi="楷体" w:eastAsia="楷体" w:cs="楷体"/>
          <w:color w:val="auto"/>
          <w:sz w:val="24"/>
          <w:szCs w:val="24"/>
        </w:rPr>
      </w:pPr>
      <w:r>
        <w:rPr>
          <w:rFonts w:hint="eastAsia" w:ascii="楷体" w:hAnsi="楷体" w:eastAsia="楷体" w:cs="楷体"/>
          <w:color w:val="auto"/>
          <w:sz w:val="24"/>
          <w:szCs w:val="24"/>
        </w:rPr>
        <w:t xml:space="preserve">               法定代表人(签字)：</w:t>
      </w:r>
    </w:p>
    <w:p w14:paraId="1672D530">
      <w:pPr>
        <w:snapToGrid w:val="0"/>
        <w:spacing w:line="480" w:lineRule="auto"/>
        <w:ind w:firstLine="480" w:firstLineChars="200"/>
        <w:jc w:val="center"/>
        <w:rPr>
          <w:rFonts w:hint="eastAsia" w:ascii="楷体" w:hAnsi="楷体" w:eastAsia="楷体" w:cs="楷体"/>
          <w:color w:val="auto"/>
          <w:sz w:val="24"/>
          <w:szCs w:val="24"/>
        </w:rPr>
      </w:pPr>
      <w:r>
        <w:rPr>
          <w:rFonts w:hint="eastAsia" w:ascii="楷体" w:hAnsi="楷体" w:eastAsia="楷体" w:cs="楷体"/>
          <w:color w:val="auto"/>
          <w:sz w:val="24"/>
          <w:szCs w:val="24"/>
        </w:rPr>
        <w:t xml:space="preserve">             被授权人(签字)：</w:t>
      </w:r>
    </w:p>
    <w:p w14:paraId="4E696216">
      <w:pPr>
        <w:snapToGrid w:val="0"/>
        <w:spacing w:line="480" w:lineRule="auto"/>
        <w:ind w:firstLine="480" w:firstLineChars="200"/>
        <w:jc w:val="center"/>
        <w:rPr>
          <w:rFonts w:hint="eastAsia" w:ascii="楷体" w:hAnsi="楷体" w:eastAsia="楷体" w:cs="楷体"/>
          <w:color w:val="auto"/>
          <w:sz w:val="24"/>
          <w:szCs w:val="24"/>
        </w:rPr>
      </w:pPr>
      <w:r>
        <w:rPr>
          <w:rFonts w:hint="eastAsia" w:ascii="楷体" w:hAnsi="楷体" w:eastAsia="楷体" w:cs="楷体"/>
          <w:color w:val="auto"/>
          <w:sz w:val="24"/>
          <w:szCs w:val="24"/>
        </w:rPr>
        <w:t xml:space="preserve">                 授权单位名称（盖章）</w:t>
      </w:r>
    </w:p>
    <w:p w14:paraId="3BE4C30E">
      <w:pPr>
        <w:snapToGrid w:val="0"/>
        <w:spacing w:line="48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 xml:space="preserve">                               联系电话：</w:t>
      </w:r>
    </w:p>
    <w:p w14:paraId="521BBA7D">
      <w:pPr>
        <w:pStyle w:val="30"/>
        <w:spacing w:line="360" w:lineRule="auto"/>
        <w:ind w:firstLine="0" w:firstLineChars="0"/>
        <w:rPr>
          <w:rFonts w:hint="eastAsia" w:ascii="楷体" w:hAnsi="楷体" w:eastAsia="楷体" w:cs="楷体"/>
          <w:b/>
          <w:bCs/>
          <w:color w:val="auto"/>
          <w:kern w:val="44"/>
          <w:sz w:val="24"/>
          <w:szCs w:val="24"/>
        </w:rPr>
      </w:pPr>
    </w:p>
    <w:p w14:paraId="0CCE356A">
      <w:pPr>
        <w:pStyle w:val="30"/>
        <w:spacing w:line="360" w:lineRule="auto"/>
        <w:ind w:firstLine="0" w:firstLineChars="0"/>
        <w:rPr>
          <w:rFonts w:hint="eastAsia" w:ascii="楷体" w:hAnsi="楷体" w:eastAsia="楷体" w:cs="楷体"/>
          <w:b/>
          <w:bCs/>
          <w:color w:val="auto"/>
          <w:kern w:val="44"/>
          <w:sz w:val="24"/>
          <w:szCs w:val="24"/>
        </w:rPr>
      </w:pPr>
    </w:p>
    <w:p w14:paraId="5DE3DB7A">
      <w:pPr>
        <w:pStyle w:val="30"/>
        <w:spacing w:line="360" w:lineRule="auto"/>
        <w:ind w:firstLine="0" w:firstLineChars="0"/>
        <w:rPr>
          <w:rFonts w:hint="eastAsia" w:ascii="楷体" w:hAnsi="楷体" w:eastAsia="楷体" w:cs="楷体"/>
          <w:b/>
          <w:bCs/>
          <w:color w:val="auto"/>
          <w:sz w:val="24"/>
          <w:szCs w:val="24"/>
        </w:rPr>
      </w:pPr>
    </w:p>
    <w:p w14:paraId="0967CB76">
      <w:pPr>
        <w:pStyle w:val="30"/>
        <w:spacing w:line="360" w:lineRule="auto"/>
        <w:ind w:firstLine="0" w:firstLineChars="0"/>
        <w:jc w:val="center"/>
        <w:rPr>
          <w:rFonts w:hint="eastAsia" w:ascii="楷体" w:hAnsi="楷体" w:eastAsia="楷体" w:cs="楷体"/>
          <w:b/>
          <w:bCs/>
          <w:color w:val="auto"/>
          <w:sz w:val="24"/>
          <w:szCs w:val="24"/>
        </w:rPr>
      </w:pPr>
      <w:r>
        <w:rPr>
          <w:rFonts w:hint="eastAsia" w:ascii="楷体" w:hAnsi="楷体" w:eastAsia="楷体" w:cs="楷体"/>
          <w:b/>
          <w:bCs/>
          <w:color w:val="auto"/>
          <w:sz w:val="24"/>
          <w:szCs w:val="24"/>
        </w:rPr>
        <w:t>无重大违法记录声明函</w:t>
      </w:r>
    </w:p>
    <w:p w14:paraId="6DF5362C">
      <w:pPr>
        <w:pStyle w:val="30"/>
        <w:spacing w:line="360" w:lineRule="auto"/>
        <w:ind w:firstLine="480"/>
        <w:jc w:val="left"/>
        <w:rPr>
          <w:rFonts w:hint="eastAsia" w:ascii="仿宋" w:hAnsi="仿宋" w:eastAsia="仿宋"/>
          <w:color w:val="auto"/>
          <w:sz w:val="24"/>
          <w:szCs w:val="24"/>
        </w:rPr>
      </w:pPr>
      <w:r>
        <w:rPr>
          <w:rFonts w:hint="eastAsia" w:ascii="仿宋" w:hAnsi="仿宋" w:eastAsia="仿宋"/>
          <w:color w:val="auto"/>
          <w:sz w:val="24"/>
          <w:szCs w:val="24"/>
        </w:rPr>
        <w:t>近三年内参加过的政府采购和招投标活动中没有重大违法记录（提供声明函（格式自拟），供应商注册成立时间不足三年的，从注册时间起算），以下为格式参考：</w:t>
      </w:r>
    </w:p>
    <w:p w14:paraId="732C1AAF">
      <w:pPr>
        <w:pStyle w:val="30"/>
        <w:spacing w:line="360" w:lineRule="auto"/>
        <w:ind w:firstLine="480"/>
        <w:jc w:val="left"/>
        <w:rPr>
          <w:rFonts w:hint="eastAsia" w:ascii="仿宋" w:hAnsi="仿宋" w:eastAsia="仿宋"/>
          <w:color w:val="auto"/>
          <w:sz w:val="24"/>
          <w:szCs w:val="24"/>
        </w:rPr>
      </w:pPr>
      <w:r>
        <w:rPr>
          <w:rFonts w:hint="eastAsia" w:ascii="仿宋" w:hAnsi="仿宋" w:eastAsia="仿宋"/>
          <w:color w:val="auto"/>
          <w:sz w:val="24"/>
          <w:szCs w:val="24"/>
        </w:rPr>
        <w:t xml:space="preserve"> </w:t>
      </w:r>
    </w:p>
    <w:p w14:paraId="7E08B092">
      <w:pPr>
        <w:pStyle w:val="30"/>
        <w:spacing w:line="360" w:lineRule="auto"/>
        <w:ind w:firstLine="0" w:firstLineChars="0"/>
        <w:jc w:val="center"/>
        <w:rPr>
          <w:rFonts w:hint="eastAsia" w:ascii="宋体" w:hAnsi="宋体"/>
          <w:b/>
          <w:bCs/>
          <w:color w:val="auto"/>
          <w:kern w:val="44"/>
          <w:sz w:val="32"/>
          <w:szCs w:val="32"/>
        </w:rPr>
      </w:pPr>
      <w:r>
        <w:rPr>
          <w:rFonts w:hint="eastAsia" w:ascii="宋体" w:hAnsi="宋体"/>
          <w:b/>
          <w:bCs/>
          <w:color w:val="auto"/>
          <w:kern w:val="44"/>
          <w:sz w:val="32"/>
          <w:szCs w:val="32"/>
        </w:rPr>
        <w:t>声明函</w:t>
      </w:r>
    </w:p>
    <w:p w14:paraId="2E6ABAC4">
      <w:pPr>
        <w:pStyle w:val="30"/>
        <w:spacing w:line="360" w:lineRule="auto"/>
        <w:ind w:firstLine="0" w:firstLineChars="0"/>
        <w:jc w:val="left"/>
        <w:rPr>
          <w:rFonts w:hint="eastAsia" w:ascii="仿宋" w:hAnsi="仿宋" w:eastAsia="仿宋"/>
          <w:color w:val="auto"/>
          <w:kern w:val="44"/>
          <w:sz w:val="24"/>
          <w:szCs w:val="24"/>
        </w:rPr>
      </w:pPr>
      <w:r>
        <w:rPr>
          <w:rFonts w:hint="eastAsia" w:ascii="仿宋" w:hAnsi="仿宋" w:eastAsia="仿宋"/>
          <w:color w:val="auto"/>
          <w:kern w:val="44"/>
          <w:sz w:val="24"/>
          <w:szCs w:val="24"/>
          <w:lang w:eastAsia="zh-CN"/>
        </w:rPr>
        <w:t>海南洋浦陆海能源发展有限公司</w:t>
      </w:r>
      <w:r>
        <w:rPr>
          <w:rFonts w:hint="eastAsia" w:ascii="仿宋" w:hAnsi="仿宋" w:eastAsia="仿宋"/>
          <w:color w:val="auto"/>
          <w:kern w:val="44"/>
          <w:sz w:val="24"/>
          <w:szCs w:val="24"/>
        </w:rPr>
        <w:t xml:space="preserve"> ：</w:t>
      </w:r>
    </w:p>
    <w:p w14:paraId="4F8BB011">
      <w:pPr>
        <w:pStyle w:val="30"/>
        <w:spacing w:line="360" w:lineRule="auto"/>
        <w:ind w:firstLine="480"/>
        <w:jc w:val="left"/>
        <w:rPr>
          <w:rFonts w:hint="eastAsia" w:ascii="仿宋" w:hAnsi="仿宋" w:eastAsia="仿宋"/>
          <w:color w:val="auto"/>
          <w:kern w:val="44"/>
          <w:sz w:val="24"/>
          <w:szCs w:val="24"/>
        </w:rPr>
      </w:pPr>
      <w:r>
        <w:rPr>
          <w:rFonts w:hint="eastAsia" w:ascii="仿宋" w:hAnsi="仿宋" w:eastAsia="仿宋"/>
          <w:color w:val="auto"/>
          <w:kern w:val="44"/>
          <w:sz w:val="24"/>
          <w:szCs w:val="24"/>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3CEE653A">
      <w:pPr>
        <w:pStyle w:val="30"/>
        <w:spacing w:line="360" w:lineRule="auto"/>
        <w:ind w:firstLine="480"/>
        <w:jc w:val="left"/>
        <w:rPr>
          <w:rFonts w:hint="eastAsia" w:ascii="仿宋" w:hAnsi="仿宋" w:eastAsia="仿宋"/>
          <w:color w:val="auto"/>
          <w:kern w:val="44"/>
          <w:sz w:val="24"/>
          <w:szCs w:val="24"/>
        </w:rPr>
      </w:pPr>
      <w:r>
        <w:rPr>
          <w:rFonts w:hint="eastAsia" w:ascii="仿宋" w:hAnsi="仿宋" w:eastAsia="仿宋"/>
          <w:color w:val="auto"/>
          <w:kern w:val="44"/>
          <w:sz w:val="24"/>
          <w:szCs w:val="24"/>
        </w:rPr>
        <w:t>附：未被列入中国执行信息公开网（http://zxgk.court.gov.cn/）的“失信被执行人”名单和国家企业信用信息公示系统“严重违法失信名单（黑名单）”的查询结果网页截图并加盖单位公章）。</w:t>
      </w:r>
    </w:p>
    <w:p w14:paraId="20AE2EE0">
      <w:pPr>
        <w:pStyle w:val="30"/>
        <w:spacing w:line="360" w:lineRule="auto"/>
        <w:ind w:firstLine="0" w:firstLineChars="0"/>
        <w:jc w:val="left"/>
        <w:rPr>
          <w:rFonts w:hint="eastAsia" w:ascii="仿宋" w:hAnsi="仿宋" w:eastAsia="仿宋"/>
          <w:color w:val="auto"/>
          <w:kern w:val="44"/>
          <w:sz w:val="24"/>
          <w:szCs w:val="24"/>
        </w:rPr>
      </w:pPr>
      <w:r>
        <w:rPr>
          <w:rFonts w:hint="eastAsia" w:ascii="仿宋" w:hAnsi="仿宋" w:eastAsia="仿宋"/>
          <w:color w:val="auto"/>
          <w:kern w:val="44"/>
          <w:sz w:val="24"/>
          <w:szCs w:val="24"/>
        </w:rPr>
        <w:t xml:space="preserve"> </w:t>
      </w:r>
    </w:p>
    <w:p w14:paraId="554901D1">
      <w:pPr>
        <w:pStyle w:val="30"/>
        <w:spacing w:line="360" w:lineRule="auto"/>
        <w:ind w:firstLine="0" w:firstLineChars="0"/>
        <w:jc w:val="left"/>
        <w:rPr>
          <w:rFonts w:hint="eastAsia" w:ascii="仿宋" w:hAnsi="仿宋" w:eastAsia="仿宋"/>
          <w:color w:val="auto"/>
          <w:kern w:val="44"/>
          <w:sz w:val="24"/>
          <w:szCs w:val="24"/>
        </w:rPr>
      </w:pPr>
      <w:r>
        <w:rPr>
          <w:rFonts w:hint="eastAsia" w:ascii="仿宋" w:hAnsi="仿宋" w:eastAsia="仿宋"/>
          <w:color w:val="auto"/>
          <w:kern w:val="44"/>
          <w:sz w:val="24"/>
          <w:szCs w:val="24"/>
        </w:rPr>
        <w:t xml:space="preserve"> </w:t>
      </w:r>
    </w:p>
    <w:p w14:paraId="6CD7A2D6">
      <w:pPr>
        <w:pStyle w:val="30"/>
        <w:spacing w:line="360" w:lineRule="auto"/>
        <w:ind w:firstLine="0" w:firstLineChars="0"/>
        <w:jc w:val="left"/>
        <w:rPr>
          <w:rFonts w:hint="eastAsia" w:ascii="仿宋" w:hAnsi="仿宋" w:eastAsia="仿宋"/>
          <w:color w:val="auto"/>
          <w:kern w:val="44"/>
          <w:sz w:val="24"/>
          <w:szCs w:val="24"/>
        </w:rPr>
      </w:pPr>
      <w:r>
        <w:rPr>
          <w:rFonts w:hint="eastAsia" w:ascii="仿宋" w:hAnsi="仿宋" w:eastAsia="仿宋"/>
          <w:color w:val="auto"/>
          <w:kern w:val="44"/>
          <w:sz w:val="24"/>
          <w:szCs w:val="24"/>
        </w:rPr>
        <w:t xml:space="preserve"> </w:t>
      </w:r>
    </w:p>
    <w:p w14:paraId="278EEBDF">
      <w:pPr>
        <w:pStyle w:val="30"/>
        <w:spacing w:line="360" w:lineRule="auto"/>
        <w:ind w:firstLine="0" w:firstLineChars="0"/>
        <w:jc w:val="left"/>
        <w:rPr>
          <w:rFonts w:hint="eastAsia" w:ascii="仿宋" w:hAnsi="仿宋" w:eastAsia="仿宋"/>
          <w:color w:val="auto"/>
          <w:kern w:val="44"/>
          <w:sz w:val="24"/>
          <w:szCs w:val="24"/>
        </w:rPr>
      </w:pPr>
      <w:r>
        <w:rPr>
          <w:rFonts w:hint="eastAsia" w:ascii="仿宋" w:hAnsi="仿宋" w:eastAsia="仿宋"/>
          <w:color w:val="auto"/>
          <w:kern w:val="44"/>
          <w:sz w:val="24"/>
          <w:szCs w:val="24"/>
        </w:rPr>
        <w:t xml:space="preserve"> </w:t>
      </w:r>
    </w:p>
    <w:p w14:paraId="30FB94DE">
      <w:pPr>
        <w:pStyle w:val="30"/>
        <w:spacing w:line="360" w:lineRule="auto"/>
        <w:ind w:firstLine="0" w:firstLineChars="0"/>
        <w:jc w:val="left"/>
        <w:rPr>
          <w:rFonts w:hint="eastAsia" w:ascii="仿宋" w:hAnsi="仿宋" w:eastAsia="仿宋"/>
          <w:color w:val="auto"/>
          <w:kern w:val="44"/>
          <w:sz w:val="24"/>
          <w:szCs w:val="24"/>
        </w:rPr>
      </w:pPr>
      <w:r>
        <w:rPr>
          <w:rFonts w:hint="eastAsia" w:ascii="仿宋" w:hAnsi="仿宋" w:eastAsia="仿宋"/>
          <w:color w:val="auto"/>
          <w:kern w:val="44"/>
          <w:sz w:val="24"/>
          <w:szCs w:val="24"/>
        </w:rPr>
        <w:t xml:space="preserve"> </w:t>
      </w:r>
    </w:p>
    <w:p w14:paraId="3E8ACDBC">
      <w:pPr>
        <w:pStyle w:val="41"/>
        <w:spacing w:line="360" w:lineRule="auto"/>
        <w:ind w:firstLine="1200" w:firstLineChars="500"/>
        <w:jc w:val="center"/>
        <w:rPr>
          <w:rFonts w:hint="eastAsia" w:ascii="仿宋" w:hAnsi="仿宋" w:eastAsia="仿宋"/>
          <w:color w:val="auto"/>
          <w:sz w:val="24"/>
          <w:szCs w:val="24"/>
        </w:rPr>
      </w:pPr>
      <w:r>
        <w:rPr>
          <w:rFonts w:hint="eastAsia" w:ascii="仿宋" w:hAnsi="仿宋" w:eastAsia="仿宋"/>
          <w:color w:val="auto"/>
          <w:sz w:val="24"/>
          <w:szCs w:val="24"/>
        </w:rPr>
        <w:t xml:space="preserve">                                    供应商：    （盖单位章）</w:t>
      </w:r>
    </w:p>
    <w:p w14:paraId="6E036AE7">
      <w:pPr>
        <w:pStyle w:val="41"/>
        <w:spacing w:line="360" w:lineRule="auto"/>
        <w:ind w:firstLine="1200" w:firstLineChars="500"/>
        <w:jc w:val="right"/>
        <w:rPr>
          <w:rFonts w:hint="eastAsia" w:ascii="仿宋" w:hAnsi="仿宋" w:eastAsia="仿宋"/>
          <w:color w:val="auto"/>
          <w:sz w:val="24"/>
          <w:szCs w:val="24"/>
        </w:rPr>
      </w:pPr>
      <w:r>
        <w:rPr>
          <w:rFonts w:hint="eastAsia" w:ascii="仿宋" w:hAnsi="仿宋" w:eastAsia="仿宋"/>
          <w:color w:val="auto"/>
          <w:sz w:val="24"/>
          <w:szCs w:val="24"/>
        </w:rPr>
        <w:t xml:space="preserve"> </w:t>
      </w:r>
    </w:p>
    <w:p w14:paraId="1429164F">
      <w:pPr>
        <w:pStyle w:val="41"/>
        <w:spacing w:line="360" w:lineRule="auto"/>
        <w:ind w:firstLine="1200" w:firstLineChars="500"/>
        <w:jc w:val="center"/>
        <w:rPr>
          <w:rFonts w:hint="eastAsia" w:ascii="仿宋" w:hAnsi="仿宋" w:eastAsia="仿宋"/>
          <w:color w:val="auto"/>
          <w:sz w:val="24"/>
          <w:szCs w:val="24"/>
        </w:rPr>
      </w:pPr>
      <w:r>
        <w:rPr>
          <w:rFonts w:hint="eastAsia" w:ascii="仿宋" w:hAnsi="仿宋" w:eastAsia="仿宋"/>
          <w:color w:val="auto"/>
          <w:sz w:val="24"/>
          <w:szCs w:val="24"/>
        </w:rPr>
        <w:t xml:space="preserve">                      法定代表人或其被授权人：  （签字）</w:t>
      </w:r>
    </w:p>
    <w:p w14:paraId="074987E1">
      <w:pPr>
        <w:pStyle w:val="41"/>
        <w:spacing w:line="360" w:lineRule="auto"/>
        <w:ind w:firstLine="482"/>
        <w:jc w:val="right"/>
        <w:rPr>
          <w:rFonts w:hint="eastAsia" w:ascii="仿宋" w:hAnsi="仿宋" w:eastAsia="仿宋"/>
          <w:color w:val="auto"/>
          <w:sz w:val="24"/>
          <w:szCs w:val="24"/>
        </w:rPr>
      </w:pPr>
      <w:r>
        <w:rPr>
          <w:rFonts w:hint="eastAsia" w:ascii="仿宋" w:hAnsi="仿宋" w:eastAsia="仿宋"/>
          <w:color w:val="auto"/>
          <w:sz w:val="24"/>
          <w:szCs w:val="24"/>
        </w:rPr>
        <w:t xml:space="preserve"> </w:t>
      </w:r>
    </w:p>
    <w:p w14:paraId="2AEE788A">
      <w:pPr>
        <w:pStyle w:val="41"/>
        <w:spacing w:line="360" w:lineRule="auto"/>
        <w:ind w:firstLine="482"/>
        <w:jc w:val="right"/>
        <w:rPr>
          <w:rFonts w:hint="eastAsia" w:ascii="仿宋" w:hAnsi="仿宋" w:eastAsia="仿宋"/>
          <w:color w:val="auto"/>
          <w:sz w:val="24"/>
          <w:szCs w:val="24"/>
        </w:rPr>
      </w:pPr>
      <w:r>
        <w:rPr>
          <w:rFonts w:hint="eastAsia" w:ascii="仿宋" w:hAnsi="仿宋" w:eastAsia="仿宋"/>
          <w:color w:val="auto"/>
          <w:sz w:val="24"/>
          <w:szCs w:val="24"/>
        </w:rPr>
        <w:t xml:space="preserve"> 年    月    日</w:t>
      </w:r>
    </w:p>
    <w:p w14:paraId="199309A5">
      <w:pPr>
        <w:pStyle w:val="30"/>
        <w:spacing w:line="360" w:lineRule="auto"/>
        <w:ind w:firstLine="0" w:firstLineChars="0"/>
        <w:jc w:val="left"/>
        <w:rPr>
          <w:rFonts w:hint="eastAsia" w:ascii="仿宋" w:hAnsi="仿宋" w:eastAsia="仿宋"/>
          <w:color w:val="auto"/>
          <w:kern w:val="44"/>
          <w:sz w:val="24"/>
          <w:szCs w:val="24"/>
        </w:rPr>
      </w:pPr>
      <w:r>
        <w:rPr>
          <w:rFonts w:hint="eastAsia" w:ascii="仿宋" w:hAnsi="仿宋" w:eastAsia="仿宋"/>
          <w:color w:val="auto"/>
          <w:kern w:val="44"/>
          <w:sz w:val="24"/>
          <w:szCs w:val="24"/>
        </w:rPr>
        <w:t xml:space="preserve"> </w:t>
      </w:r>
    </w:p>
    <w:p w14:paraId="38E5CBAB">
      <w:pPr>
        <w:pStyle w:val="30"/>
        <w:spacing w:line="360" w:lineRule="auto"/>
        <w:ind w:firstLine="0" w:firstLineChars="0"/>
        <w:jc w:val="left"/>
        <w:rPr>
          <w:rFonts w:hint="eastAsia" w:ascii="仿宋" w:hAnsi="仿宋" w:eastAsia="仿宋"/>
          <w:color w:val="auto"/>
          <w:kern w:val="44"/>
          <w:sz w:val="24"/>
          <w:szCs w:val="24"/>
        </w:rPr>
      </w:pPr>
      <w:r>
        <w:rPr>
          <w:rFonts w:hint="eastAsia" w:ascii="仿宋" w:hAnsi="仿宋" w:eastAsia="仿宋"/>
          <w:color w:val="auto"/>
          <w:kern w:val="44"/>
          <w:sz w:val="24"/>
          <w:szCs w:val="24"/>
        </w:rPr>
        <w:t xml:space="preserve"> </w:t>
      </w:r>
    </w:p>
    <w:p w14:paraId="62C338F5">
      <w:pPr>
        <w:pStyle w:val="30"/>
        <w:spacing w:line="360" w:lineRule="auto"/>
        <w:ind w:firstLine="0" w:firstLineChars="0"/>
        <w:jc w:val="left"/>
        <w:rPr>
          <w:rFonts w:hint="eastAsia" w:ascii="仿宋" w:hAnsi="仿宋" w:eastAsia="仿宋"/>
          <w:color w:val="auto"/>
          <w:kern w:val="44"/>
          <w:sz w:val="24"/>
          <w:szCs w:val="24"/>
        </w:rPr>
      </w:pPr>
    </w:p>
    <w:p w14:paraId="766D0709">
      <w:pPr>
        <w:pStyle w:val="30"/>
        <w:spacing w:line="360" w:lineRule="auto"/>
        <w:ind w:firstLine="0" w:firstLineChars="0"/>
        <w:jc w:val="left"/>
        <w:rPr>
          <w:rFonts w:hint="eastAsia" w:ascii="仿宋" w:hAnsi="仿宋" w:eastAsia="仿宋"/>
          <w:color w:val="auto"/>
          <w:kern w:val="44"/>
          <w:sz w:val="24"/>
          <w:szCs w:val="24"/>
        </w:rPr>
      </w:pPr>
    </w:p>
    <w:p w14:paraId="4FB3E406">
      <w:pPr>
        <w:pStyle w:val="41"/>
        <w:spacing w:line="360" w:lineRule="auto"/>
        <w:rPr>
          <w:rFonts w:hint="eastAsia" w:ascii="仿宋" w:hAnsi="仿宋" w:eastAsia="仿宋" w:cs="黑体"/>
          <w:b/>
          <w:color w:val="auto"/>
          <w:kern w:val="0"/>
          <w:sz w:val="24"/>
          <w:szCs w:val="24"/>
        </w:rPr>
      </w:pPr>
      <w:r>
        <w:rPr>
          <w:rFonts w:ascii="仿宋" w:hAnsi="仿宋" w:eastAsia="仿宋"/>
          <w:color w:val="auto"/>
          <w:sz w:val="24"/>
          <w:szCs w:val="24"/>
        </w:rPr>
        <w:drawing>
          <wp:anchor distT="0" distB="0" distL="114300" distR="114300" simplePos="0" relativeHeight="251660288" behindDoc="0" locked="0" layoutInCell="1" allowOverlap="1">
            <wp:simplePos x="0" y="0"/>
            <wp:positionH relativeFrom="column">
              <wp:posOffset>-41275</wp:posOffset>
            </wp:positionH>
            <wp:positionV relativeFrom="paragraph">
              <wp:posOffset>840740</wp:posOffset>
            </wp:positionV>
            <wp:extent cx="5708650" cy="3796665"/>
            <wp:effectExtent l="0" t="0" r="6350" b="13335"/>
            <wp:wrapSquare wrapText="bothSides"/>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14"/>
                    <a:stretch>
                      <a:fillRect/>
                    </a:stretch>
                  </pic:blipFill>
                  <pic:spPr>
                    <a:xfrm>
                      <a:off x="0" y="0"/>
                      <a:ext cx="5708650" cy="3796665"/>
                    </a:xfrm>
                    <a:prstGeom prst="rect">
                      <a:avLst/>
                    </a:prstGeom>
                    <a:noFill/>
                    <a:ln>
                      <a:noFill/>
                    </a:ln>
                  </pic:spPr>
                </pic:pic>
              </a:graphicData>
            </a:graphic>
          </wp:anchor>
        </w:drawing>
      </w:r>
      <w:r>
        <w:rPr>
          <w:rFonts w:ascii="仿宋" w:hAnsi="仿宋" w:eastAsia="仿宋"/>
          <w:color w:val="auto"/>
          <w:sz w:val="24"/>
        </w:rPr>
        <w:drawing>
          <wp:anchor distT="0" distB="0" distL="114300" distR="114300" simplePos="0" relativeHeight="251659264" behindDoc="0" locked="0" layoutInCell="1" allowOverlap="1">
            <wp:simplePos x="0" y="0"/>
            <wp:positionH relativeFrom="column">
              <wp:posOffset>-47625</wp:posOffset>
            </wp:positionH>
            <wp:positionV relativeFrom="paragraph">
              <wp:posOffset>5031740</wp:posOffset>
            </wp:positionV>
            <wp:extent cx="5796280" cy="3346450"/>
            <wp:effectExtent l="0" t="0" r="13970" b="6350"/>
            <wp:wrapSquare wrapText="bothSides"/>
            <wp:docPr id="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2"/>
                    <pic:cNvPicPr>
                      <a:picLocks noChangeAspect="1"/>
                    </pic:cNvPicPr>
                  </pic:nvPicPr>
                  <pic:blipFill>
                    <a:blip r:embed="rId15"/>
                    <a:stretch>
                      <a:fillRect/>
                    </a:stretch>
                  </pic:blipFill>
                  <pic:spPr>
                    <a:xfrm>
                      <a:off x="0" y="0"/>
                      <a:ext cx="5796280" cy="3346450"/>
                    </a:xfrm>
                    <a:prstGeom prst="rect">
                      <a:avLst/>
                    </a:prstGeom>
                    <a:noFill/>
                    <a:ln>
                      <a:noFill/>
                    </a:ln>
                  </pic:spPr>
                </pic:pic>
              </a:graphicData>
            </a:graphic>
          </wp:anchor>
        </w:drawing>
      </w:r>
      <w:r>
        <w:rPr>
          <w:rFonts w:hint="eastAsia" w:ascii="仿宋" w:hAnsi="仿宋" w:eastAsia="仿宋" w:cs="黑体"/>
          <w:b/>
          <w:color w:val="auto"/>
          <w:kern w:val="0"/>
          <w:sz w:val="24"/>
          <w:szCs w:val="24"/>
        </w:rPr>
        <w:t>附截图（需加盖公章）：</w:t>
      </w:r>
    </w:p>
    <w:p w14:paraId="433F887B">
      <w:pPr>
        <w:spacing w:line="400" w:lineRule="exact"/>
        <w:rPr>
          <w:color w:val="auto"/>
        </w:rPr>
      </w:pPr>
    </w:p>
    <w:p w14:paraId="52F8F18E">
      <w:pPr>
        <w:pStyle w:val="30"/>
        <w:spacing w:line="360" w:lineRule="auto"/>
        <w:ind w:firstLine="0" w:firstLineChars="0"/>
        <w:jc w:val="left"/>
        <w:rPr>
          <w:rFonts w:hint="eastAsia" w:ascii="楷体" w:hAnsi="楷体" w:eastAsia="楷体" w:cs="楷体"/>
          <w:b/>
          <w:bCs/>
          <w:color w:val="auto"/>
          <w:sz w:val="24"/>
          <w:szCs w:val="24"/>
        </w:rPr>
      </w:pPr>
    </w:p>
    <w:sectPr>
      <w:headerReference r:id="rId12" w:type="default"/>
      <w:pgSz w:w="11906" w:h="16838"/>
      <w:pgMar w:top="1440" w:right="1800" w:bottom="1247" w:left="1800" w:header="851" w:footer="992" w:gutter="0"/>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符能" w:date="2025-05-22T17:12:00Z" w:initials="N">
    <w:p w14:paraId="06DA975A">
      <w:pPr>
        <w:jc w:val="left"/>
      </w:pPr>
      <w:r>
        <w:rPr>
          <w:rFonts w:hint="eastAsia"/>
          <w:color w:val="000000"/>
        </w:rPr>
        <w:t>建议明确具体的服务期限。</w:t>
      </w:r>
    </w:p>
  </w:comment>
  <w:comment w:id="1" w:author="符能" w:date="2025-05-22T17:20:00Z" w:initials="N">
    <w:p w14:paraId="14C4B8CE">
      <w:pPr>
        <w:jc w:val="left"/>
      </w:pPr>
      <w:r>
        <w:rPr>
          <w:rFonts w:hint="eastAsia"/>
        </w:rPr>
        <w:t>建议明确出具意见及科研盖章的主体。</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DA975A" w15:done="0"/>
  <w15:commentEx w15:paraId="14C4B8C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CC842">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0D4E3">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3EA7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933EA7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DB426">
    <w:pPr>
      <w:pStyle w:val="14"/>
    </w:pPr>
    <w:r>
      <w:rPr>
        <w:rFonts w:hint="eastAsia"/>
        <w:lang w:eastAsia="zh-CN"/>
      </w:rPr>
      <w:t>洋浦迎宾馆用户侧储能项目</w:t>
    </w:r>
    <w:r>
      <w:rPr>
        <w:rFonts w:hint="eastAsia"/>
      </w:rPr>
      <w:t>建议书编制服务公开询价</w:t>
    </w:r>
    <w: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0F088">
    <w:pPr>
      <w:pStyle w:val="14"/>
    </w:pPr>
    <w:r>
      <w:rPr>
        <w:rFonts w:hint="eastAsia"/>
        <w:lang w:eastAsia="zh-CN"/>
      </w:rPr>
      <w:t>洋浦迎宾馆用户侧储能项目</w:t>
    </w:r>
    <w:r>
      <w:rPr>
        <w:rFonts w:hint="eastAsia"/>
      </w:rPr>
      <w:t>建议书编制服务公开询价</w:t>
    </w:r>
    <w: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43FB3">
    <w:pPr>
      <w:pStyle w:val="14"/>
    </w:pPr>
    <w:r>
      <w:rPr>
        <w:rFonts w:hint="eastAsia"/>
        <w:lang w:eastAsia="zh-CN"/>
      </w:rPr>
      <w:t>洋浦迎宾馆用户侧储能项目</w:t>
    </w:r>
    <w:r>
      <w:rPr>
        <w:rFonts w:hint="eastAsia"/>
      </w:rPr>
      <w:t>建议书编制服务公开询价</w:t>
    </w:r>
    <w: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6DEFA">
    <w:pPr>
      <w:pStyle w:val="14"/>
    </w:pPr>
    <w:r>
      <w:rPr>
        <w:rFonts w:hint="eastAsia"/>
        <w:lang w:eastAsia="zh-CN"/>
      </w:rPr>
      <w:t>洋浦迎宾馆用户侧储能项目</w:t>
    </w:r>
    <w:r>
      <w:rPr>
        <w:rFonts w:hint="eastAsia"/>
      </w:rPr>
      <w:t>建议书编制服务公开询价</w:t>
    </w:r>
    <w: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A2DFA">
    <w:pPr>
      <w:pStyle w:val="14"/>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8290B">
    <w:pPr>
      <w:pStyle w:val="1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0ECD7"/>
    <w:multiLevelType w:val="multilevel"/>
    <w:tmpl w:val="8F80ECD7"/>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483988"/>
    <w:multiLevelType w:val="multilevel"/>
    <w:tmpl w:val="41483988"/>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A9D76F"/>
    <w:multiLevelType w:val="singleLevel"/>
    <w:tmpl w:val="42A9D76F"/>
    <w:lvl w:ilvl="0" w:tentative="0">
      <w:start w:val="1"/>
      <w:numFmt w:val="upperLetter"/>
      <w:suff w:val="nothing"/>
      <w:lvlText w:val="%1、"/>
      <w:lvlJc w:val="left"/>
    </w:lvl>
  </w:abstractNum>
  <w:abstractNum w:abstractNumId="3">
    <w:nsid w:val="6D7E3F31"/>
    <w:multiLevelType w:val="multilevel"/>
    <w:tmpl w:val="6D7E3F31"/>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符能">
    <w15:presenceInfo w15:providerId="None" w15:userId="符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revisionView w:markup="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A07BA"/>
    <w:rsid w:val="000A565A"/>
    <w:rsid w:val="000B135B"/>
    <w:rsid w:val="000C2EE7"/>
    <w:rsid w:val="000D7B3C"/>
    <w:rsid w:val="00132DF7"/>
    <w:rsid w:val="00165A1D"/>
    <w:rsid w:val="00172A27"/>
    <w:rsid w:val="00256431"/>
    <w:rsid w:val="002D53C0"/>
    <w:rsid w:val="002E3CD7"/>
    <w:rsid w:val="00305FCC"/>
    <w:rsid w:val="004036CE"/>
    <w:rsid w:val="00445F3F"/>
    <w:rsid w:val="004F490E"/>
    <w:rsid w:val="00523EA4"/>
    <w:rsid w:val="00545311"/>
    <w:rsid w:val="00581D8A"/>
    <w:rsid w:val="005C3DEF"/>
    <w:rsid w:val="005C75A3"/>
    <w:rsid w:val="005E7B4D"/>
    <w:rsid w:val="00604E52"/>
    <w:rsid w:val="0061184C"/>
    <w:rsid w:val="00612820"/>
    <w:rsid w:val="007434AE"/>
    <w:rsid w:val="00823B3B"/>
    <w:rsid w:val="008F0597"/>
    <w:rsid w:val="00945636"/>
    <w:rsid w:val="009579B0"/>
    <w:rsid w:val="00960906"/>
    <w:rsid w:val="00981CC8"/>
    <w:rsid w:val="00A5311F"/>
    <w:rsid w:val="00A741E6"/>
    <w:rsid w:val="00AE02D7"/>
    <w:rsid w:val="00B0112E"/>
    <w:rsid w:val="00B3767C"/>
    <w:rsid w:val="00B72181"/>
    <w:rsid w:val="00B76B04"/>
    <w:rsid w:val="00C55FAD"/>
    <w:rsid w:val="00C84769"/>
    <w:rsid w:val="00CE0085"/>
    <w:rsid w:val="00D14A8E"/>
    <w:rsid w:val="00D4048F"/>
    <w:rsid w:val="00ED7AB7"/>
    <w:rsid w:val="00F30767"/>
    <w:rsid w:val="00F43B19"/>
    <w:rsid w:val="00F70345"/>
    <w:rsid w:val="00F97405"/>
    <w:rsid w:val="01007893"/>
    <w:rsid w:val="010E183C"/>
    <w:rsid w:val="01251EF0"/>
    <w:rsid w:val="01330404"/>
    <w:rsid w:val="0138621E"/>
    <w:rsid w:val="013B4C08"/>
    <w:rsid w:val="013D5BA6"/>
    <w:rsid w:val="015A60C5"/>
    <w:rsid w:val="016E6580"/>
    <w:rsid w:val="01792419"/>
    <w:rsid w:val="018F0B1E"/>
    <w:rsid w:val="01951DB9"/>
    <w:rsid w:val="01A303B3"/>
    <w:rsid w:val="01C039CE"/>
    <w:rsid w:val="01EE37A5"/>
    <w:rsid w:val="0208611B"/>
    <w:rsid w:val="023358A9"/>
    <w:rsid w:val="023615AF"/>
    <w:rsid w:val="024A4D97"/>
    <w:rsid w:val="02601A9E"/>
    <w:rsid w:val="02852330"/>
    <w:rsid w:val="028C773C"/>
    <w:rsid w:val="029810C9"/>
    <w:rsid w:val="029A3510"/>
    <w:rsid w:val="02AC3328"/>
    <w:rsid w:val="02B97306"/>
    <w:rsid w:val="02C62D99"/>
    <w:rsid w:val="02C649F6"/>
    <w:rsid w:val="02D264D3"/>
    <w:rsid w:val="02D62AD3"/>
    <w:rsid w:val="02E77606"/>
    <w:rsid w:val="02F900F0"/>
    <w:rsid w:val="030A27A5"/>
    <w:rsid w:val="030A5E0C"/>
    <w:rsid w:val="03173959"/>
    <w:rsid w:val="03215A31"/>
    <w:rsid w:val="035C1B9B"/>
    <w:rsid w:val="038C33CC"/>
    <w:rsid w:val="03AE3097"/>
    <w:rsid w:val="03B835CB"/>
    <w:rsid w:val="03D374CA"/>
    <w:rsid w:val="03D7388C"/>
    <w:rsid w:val="03DD306A"/>
    <w:rsid w:val="03E92771"/>
    <w:rsid w:val="04016E45"/>
    <w:rsid w:val="04512A9A"/>
    <w:rsid w:val="045F7637"/>
    <w:rsid w:val="04647342"/>
    <w:rsid w:val="047B2FED"/>
    <w:rsid w:val="04800691"/>
    <w:rsid w:val="04906F0D"/>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7766D7"/>
    <w:rsid w:val="05800CAE"/>
    <w:rsid w:val="05964237"/>
    <w:rsid w:val="05A07863"/>
    <w:rsid w:val="05AA0535"/>
    <w:rsid w:val="05BA56F5"/>
    <w:rsid w:val="05C00463"/>
    <w:rsid w:val="05CA70D4"/>
    <w:rsid w:val="05EF1B36"/>
    <w:rsid w:val="05F7537D"/>
    <w:rsid w:val="063D3E8F"/>
    <w:rsid w:val="063E4AA0"/>
    <w:rsid w:val="06456A8C"/>
    <w:rsid w:val="064F2365"/>
    <w:rsid w:val="06606BFB"/>
    <w:rsid w:val="066958C6"/>
    <w:rsid w:val="066B1C96"/>
    <w:rsid w:val="06B0129E"/>
    <w:rsid w:val="06B81D95"/>
    <w:rsid w:val="06D12E83"/>
    <w:rsid w:val="06EE69EC"/>
    <w:rsid w:val="06F82B7E"/>
    <w:rsid w:val="07571D11"/>
    <w:rsid w:val="07826A4B"/>
    <w:rsid w:val="07BF12C2"/>
    <w:rsid w:val="07C6738E"/>
    <w:rsid w:val="07E74A05"/>
    <w:rsid w:val="084F59DE"/>
    <w:rsid w:val="087D7EB4"/>
    <w:rsid w:val="088038FF"/>
    <w:rsid w:val="08816951"/>
    <w:rsid w:val="08852E3A"/>
    <w:rsid w:val="08B140CE"/>
    <w:rsid w:val="08BC212A"/>
    <w:rsid w:val="08C3763E"/>
    <w:rsid w:val="08C506E5"/>
    <w:rsid w:val="08C52D6F"/>
    <w:rsid w:val="08E46EA7"/>
    <w:rsid w:val="08F700C6"/>
    <w:rsid w:val="090B6406"/>
    <w:rsid w:val="09153429"/>
    <w:rsid w:val="0915706F"/>
    <w:rsid w:val="091932F8"/>
    <w:rsid w:val="092578F3"/>
    <w:rsid w:val="092A77E7"/>
    <w:rsid w:val="0942111F"/>
    <w:rsid w:val="09573735"/>
    <w:rsid w:val="096950FC"/>
    <w:rsid w:val="09837CAA"/>
    <w:rsid w:val="09860C2E"/>
    <w:rsid w:val="09A058FC"/>
    <w:rsid w:val="09A84666"/>
    <w:rsid w:val="09C0007E"/>
    <w:rsid w:val="09C25EC2"/>
    <w:rsid w:val="0A174378"/>
    <w:rsid w:val="0A201A63"/>
    <w:rsid w:val="0A3A19D7"/>
    <w:rsid w:val="0A484CEC"/>
    <w:rsid w:val="0A5E145B"/>
    <w:rsid w:val="0A64281B"/>
    <w:rsid w:val="0A840B51"/>
    <w:rsid w:val="0A8B04DC"/>
    <w:rsid w:val="0A9F717D"/>
    <w:rsid w:val="0AA9161C"/>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E679DE"/>
    <w:rsid w:val="0BFF0784"/>
    <w:rsid w:val="0C177C63"/>
    <w:rsid w:val="0C6D1CF5"/>
    <w:rsid w:val="0C6E5BE8"/>
    <w:rsid w:val="0C885FA2"/>
    <w:rsid w:val="0CA47578"/>
    <w:rsid w:val="0CBF4BF8"/>
    <w:rsid w:val="0D095E08"/>
    <w:rsid w:val="0D170060"/>
    <w:rsid w:val="0D240477"/>
    <w:rsid w:val="0D3D4B21"/>
    <w:rsid w:val="0D3E1166"/>
    <w:rsid w:val="0D500C64"/>
    <w:rsid w:val="0D583AF2"/>
    <w:rsid w:val="0D587A08"/>
    <w:rsid w:val="0D5B2DEF"/>
    <w:rsid w:val="0D5E7BE0"/>
    <w:rsid w:val="0D7C4DD5"/>
    <w:rsid w:val="0D7E3D32"/>
    <w:rsid w:val="0D80557A"/>
    <w:rsid w:val="0D9D79B0"/>
    <w:rsid w:val="0DA22DAC"/>
    <w:rsid w:val="0DBA2892"/>
    <w:rsid w:val="0DD359BA"/>
    <w:rsid w:val="0DF74DCF"/>
    <w:rsid w:val="0DF8260B"/>
    <w:rsid w:val="0DF96D54"/>
    <w:rsid w:val="0E160A26"/>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966EA"/>
    <w:rsid w:val="0F262DE9"/>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1105771"/>
    <w:rsid w:val="111E5122"/>
    <w:rsid w:val="112315AA"/>
    <w:rsid w:val="11236961"/>
    <w:rsid w:val="112D573C"/>
    <w:rsid w:val="112E2B27"/>
    <w:rsid w:val="11352AC3"/>
    <w:rsid w:val="114C5FF1"/>
    <w:rsid w:val="115241D9"/>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111232"/>
    <w:rsid w:val="122F07E2"/>
    <w:rsid w:val="12697AD8"/>
    <w:rsid w:val="12974DAB"/>
    <w:rsid w:val="12AB39AF"/>
    <w:rsid w:val="12CF6944"/>
    <w:rsid w:val="12D31474"/>
    <w:rsid w:val="12F266AE"/>
    <w:rsid w:val="12FE713F"/>
    <w:rsid w:val="130377D4"/>
    <w:rsid w:val="13191A65"/>
    <w:rsid w:val="1322619E"/>
    <w:rsid w:val="133B4F6A"/>
    <w:rsid w:val="13435E6F"/>
    <w:rsid w:val="13581549"/>
    <w:rsid w:val="13795301"/>
    <w:rsid w:val="13B103E8"/>
    <w:rsid w:val="13B43E61"/>
    <w:rsid w:val="13BB7800"/>
    <w:rsid w:val="13D4119A"/>
    <w:rsid w:val="13DF1642"/>
    <w:rsid w:val="13E65C0E"/>
    <w:rsid w:val="13E81D15"/>
    <w:rsid w:val="13FC2057"/>
    <w:rsid w:val="14191607"/>
    <w:rsid w:val="141B0D1A"/>
    <w:rsid w:val="141E3E26"/>
    <w:rsid w:val="1425541A"/>
    <w:rsid w:val="143A32D2"/>
    <w:rsid w:val="14517563"/>
    <w:rsid w:val="145233B5"/>
    <w:rsid w:val="14891FF9"/>
    <w:rsid w:val="14BA590D"/>
    <w:rsid w:val="14BC4694"/>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C90AA4"/>
    <w:rsid w:val="17D54619"/>
    <w:rsid w:val="17DE2FB7"/>
    <w:rsid w:val="17DE4D47"/>
    <w:rsid w:val="17EB1C10"/>
    <w:rsid w:val="18136FA0"/>
    <w:rsid w:val="18143491"/>
    <w:rsid w:val="181D6EA6"/>
    <w:rsid w:val="183C60EB"/>
    <w:rsid w:val="18492EF0"/>
    <w:rsid w:val="185254F4"/>
    <w:rsid w:val="185C5F13"/>
    <w:rsid w:val="185E6D88"/>
    <w:rsid w:val="18740F2C"/>
    <w:rsid w:val="187939A8"/>
    <w:rsid w:val="187E50BF"/>
    <w:rsid w:val="188B0B51"/>
    <w:rsid w:val="18A2459B"/>
    <w:rsid w:val="18C36111"/>
    <w:rsid w:val="18DE2ED2"/>
    <w:rsid w:val="18E06F8D"/>
    <w:rsid w:val="18E21560"/>
    <w:rsid w:val="18EB5025"/>
    <w:rsid w:val="190742CD"/>
    <w:rsid w:val="190D36A9"/>
    <w:rsid w:val="19304DCF"/>
    <w:rsid w:val="19442175"/>
    <w:rsid w:val="194476BE"/>
    <w:rsid w:val="1955782F"/>
    <w:rsid w:val="196F44CB"/>
    <w:rsid w:val="19723BF7"/>
    <w:rsid w:val="197A134F"/>
    <w:rsid w:val="197E4D27"/>
    <w:rsid w:val="198E78C5"/>
    <w:rsid w:val="19A857BB"/>
    <w:rsid w:val="19BA37C2"/>
    <w:rsid w:val="19DC2ECA"/>
    <w:rsid w:val="19E35721"/>
    <w:rsid w:val="19ED6C41"/>
    <w:rsid w:val="19FE7107"/>
    <w:rsid w:val="1A1C1CE5"/>
    <w:rsid w:val="1A234EFA"/>
    <w:rsid w:val="1A4E5D2F"/>
    <w:rsid w:val="1A75575B"/>
    <w:rsid w:val="1A7D0090"/>
    <w:rsid w:val="1A8259BC"/>
    <w:rsid w:val="1AB319BE"/>
    <w:rsid w:val="1AD4393F"/>
    <w:rsid w:val="1AD77563"/>
    <w:rsid w:val="1AE509FF"/>
    <w:rsid w:val="1AE54FD5"/>
    <w:rsid w:val="1AEC06BC"/>
    <w:rsid w:val="1AF26D42"/>
    <w:rsid w:val="1B035639"/>
    <w:rsid w:val="1B2003AC"/>
    <w:rsid w:val="1B2F613A"/>
    <w:rsid w:val="1B2F6BA7"/>
    <w:rsid w:val="1B853D32"/>
    <w:rsid w:val="1B8835E4"/>
    <w:rsid w:val="1BC50BBF"/>
    <w:rsid w:val="1BDE1C65"/>
    <w:rsid w:val="1BEC49DB"/>
    <w:rsid w:val="1BEE0B84"/>
    <w:rsid w:val="1BFC7520"/>
    <w:rsid w:val="1C0B2F27"/>
    <w:rsid w:val="1C3E4D63"/>
    <w:rsid w:val="1C4231EC"/>
    <w:rsid w:val="1C43753B"/>
    <w:rsid w:val="1C4E11FC"/>
    <w:rsid w:val="1C56219C"/>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510BDB"/>
    <w:rsid w:val="1D551DAF"/>
    <w:rsid w:val="1D5B3CB8"/>
    <w:rsid w:val="1D8C3CD3"/>
    <w:rsid w:val="1DA1569E"/>
    <w:rsid w:val="1DBA4B80"/>
    <w:rsid w:val="1DBE5F86"/>
    <w:rsid w:val="1DD57D7F"/>
    <w:rsid w:val="1DD8126E"/>
    <w:rsid w:val="1E0740A2"/>
    <w:rsid w:val="1E0A51EF"/>
    <w:rsid w:val="1E48458C"/>
    <w:rsid w:val="1E552FF2"/>
    <w:rsid w:val="1E5A3B65"/>
    <w:rsid w:val="1E5D4FF0"/>
    <w:rsid w:val="1E6C14AB"/>
    <w:rsid w:val="1E9A6CF6"/>
    <w:rsid w:val="1E9F5C7C"/>
    <w:rsid w:val="1E9F669B"/>
    <w:rsid w:val="1EA254C4"/>
    <w:rsid w:val="1ECF001D"/>
    <w:rsid w:val="1EDC0931"/>
    <w:rsid w:val="1EF06925"/>
    <w:rsid w:val="1EF85EBB"/>
    <w:rsid w:val="1F2A5C8F"/>
    <w:rsid w:val="1F3F7F12"/>
    <w:rsid w:val="1F550E6F"/>
    <w:rsid w:val="1F647CCA"/>
    <w:rsid w:val="1F6D7F66"/>
    <w:rsid w:val="1F6E7EA0"/>
    <w:rsid w:val="1F873CBF"/>
    <w:rsid w:val="1FA173F5"/>
    <w:rsid w:val="1FA94802"/>
    <w:rsid w:val="1FC67503"/>
    <w:rsid w:val="1FEF1512"/>
    <w:rsid w:val="1FF33877"/>
    <w:rsid w:val="1FF74072"/>
    <w:rsid w:val="200828C6"/>
    <w:rsid w:val="20085B73"/>
    <w:rsid w:val="200D0CA3"/>
    <w:rsid w:val="2029556A"/>
    <w:rsid w:val="2036713F"/>
    <w:rsid w:val="203C17F2"/>
    <w:rsid w:val="206105A6"/>
    <w:rsid w:val="206D1166"/>
    <w:rsid w:val="207F3560"/>
    <w:rsid w:val="20806BFB"/>
    <w:rsid w:val="20922904"/>
    <w:rsid w:val="209C15AC"/>
    <w:rsid w:val="20A377C7"/>
    <w:rsid w:val="20A90F70"/>
    <w:rsid w:val="20D00624"/>
    <w:rsid w:val="20F64A35"/>
    <w:rsid w:val="20FA3CE2"/>
    <w:rsid w:val="210D1A49"/>
    <w:rsid w:val="211C305E"/>
    <w:rsid w:val="21611CCB"/>
    <w:rsid w:val="21BB5E33"/>
    <w:rsid w:val="21C24E71"/>
    <w:rsid w:val="21D00C81"/>
    <w:rsid w:val="21D032ED"/>
    <w:rsid w:val="21D21888"/>
    <w:rsid w:val="21DE7CEF"/>
    <w:rsid w:val="21E75FAA"/>
    <w:rsid w:val="21EB0FE8"/>
    <w:rsid w:val="21F471EA"/>
    <w:rsid w:val="21F81B93"/>
    <w:rsid w:val="21FD636C"/>
    <w:rsid w:val="22177DFE"/>
    <w:rsid w:val="22214E8B"/>
    <w:rsid w:val="222B00F8"/>
    <w:rsid w:val="225F2771"/>
    <w:rsid w:val="227F0AA8"/>
    <w:rsid w:val="22811E51"/>
    <w:rsid w:val="228C7DBD"/>
    <w:rsid w:val="229E1AD7"/>
    <w:rsid w:val="22B51B4C"/>
    <w:rsid w:val="22E753A0"/>
    <w:rsid w:val="22F11013"/>
    <w:rsid w:val="23026758"/>
    <w:rsid w:val="23156A1D"/>
    <w:rsid w:val="2316669C"/>
    <w:rsid w:val="231B3959"/>
    <w:rsid w:val="23372454"/>
    <w:rsid w:val="237770F1"/>
    <w:rsid w:val="2379093F"/>
    <w:rsid w:val="237D5522"/>
    <w:rsid w:val="237E49F2"/>
    <w:rsid w:val="237F088B"/>
    <w:rsid w:val="239D2E24"/>
    <w:rsid w:val="239E0EFF"/>
    <w:rsid w:val="23B25C43"/>
    <w:rsid w:val="23BC668F"/>
    <w:rsid w:val="23CD03C9"/>
    <w:rsid w:val="23D0134E"/>
    <w:rsid w:val="23D14BD1"/>
    <w:rsid w:val="23D45A1D"/>
    <w:rsid w:val="23DC20B6"/>
    <w:rsid w:val="23DC5161"/>
    <w:rsid w:val="23E06F49"/>
    <w:rsid w:val="24160D4E"/>
    <w:rsid w:val="24217E53"/>
    <w:rsid w:val="243079AF"/>
    <w:rsid w:val="24364576"/>
    <w:rsid w:val="24470093"/>
    <w:rsid w:val="244A129E"/>
    <w:rsid w:val="244E01E1"/>
    <w:rsid w:val="24523F05"/>
    <w:rsid w:val="246A4D03"/>
    <w:rsid w:val="246B5060"/>
    <w:rsid w:val="247D4CEA"/>
    <w:rsid w:val="24CB43A2"/>
    <w:rsid w:val="24D136EA"/>
    <w:rsid w:val="250C526B"/>
    <w:rsid w:val="252044A2"/>
    <w:rsid w:val="25255746"/>
    <w:rsid w:val="25431230"/>
    <w:rsid w:val="255514E0"/>
    <w:rsid w:val="256453DD"/>
    <w:rsid w:val="25654636"/>
    <w:rsid w:val="2569146F"/>
    <w:rsid w:val="25783AE7"/>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83602"/>
    <w:rsid w:val="26627AEB"/>
    <w:rsid w:val="267473A3"/>
    <w:rsid w:val="267D7CB3"/>
    <w:rsid w:val="26D07ABD"/>
    <w:rsid w:val="26EF2570"/>
    <w:rsid w:val="26F65840"/>
    <w:rsid w:val="27207AFE"/>
    <w:rsid w:val="27487441"/>
    <w:rsid w:val="276369CB"/>
    <w:rsid w:val="276A6D97"/>
    <w:rsid w:val="276F6341"/>
    <w:rsid w:val="27801B28"/>
    <w:rsid w:val="2796273C"/>
    <w:rsid w:val="27BC6441"/>
    <w:rsid w:val="27E2757A"/>
    <w:rsid w:val="27FE5562"/>
    <w:rsid w:val="28077D25"/>
    <w:rsid w:val="28131E3F"/>
    <w:rsid w:val="2826006E"/>
    <w:rsid w:val="28387423"/>
    <w:rsid w:val="28462B22"/>
    <w:rsid w:val="284D5F37"/>
    <w:rsid w:val="285E4DC9"/>
    <w:rsid w:val="28746C49"/>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D76730"/>
    <w:rsid w:val="29D97869"/>
    <w:rsid w:val="2A193F65"/>
    <w:rsid w:val="2A567C96"/>
    <w:rsid w:val="2A5C3505"/>
    <w:rsid w:val="2A8320CC"/>
    <w:rsid w:val="2A9867EE"/>
    <w:rsid w:val="2AA6741A"/>
    <w:rsid w:val="2AE35882"/>
    <w:rsid w:val="2B1B6DC7"/>
    <w:rsid w:val="2B251E53"/>
    <w:rsid w:val="2B4D78BA"/>
    <w:rsid w:val="2B585E70"/>
    <w:rsid w:val="2B5B4633"/>
    <w:rsid w:val="2BB172BB"/>
    <w:rsid w:val="2BBC513B"/>
    <w:rsid w:val="2BCD376E"/>
    <w:rsid w:val="2C006140"/>
    <w:rsid w:val="2C0A0C4E"/>
    <w:rsid w:val="2C0B282E"/>
    <w:rsid w:val="2C1650BD"/>
    <w:rsid w:val="2C1959E5"/>
    <w:rsid w:val="2C4B77C7"/>
    <w:rsid w:val="2C5867CF"/>
    <w:rsid w:val="2C63351D"/>
    <w:rsid w:val="2C6F1903"/>
    <w:rsid w:val="2C7C7C88"/>
    <w:rsid w:val="2C800533"/>
    <w:rsid w:val="2C824B7E"/>
    <w:rsid w:val="2C8361C5"/>
    <w:rsid w:val="2C863E1B"/>
    <w:rsid w:val="2C892721"/>
    <w:rsid w:val="2C9C273B"/>
    <w:rsid w:val="2CCC6172"/>
    <w:rsid w:val="2CD803A2"/>
    <w:rsid w:val="2CDE3DCB"/>
    <w:rsid w:val="2CDF1F2B"/>
    <w:rsid w:val="2CE82406"/>
    <w:rsid w:val="2CF3181E"/>
    <w:rsid w:val="2CF6517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2C0451"/>
    <w:rsid w:val="2E3424AE"/>
    <w:rsid w:val="2E81295C"/>
    <w:rsid w:val="2E855ADF"/>
    <w:rsid w:val="2E90145A"/>
    <w:rsid w:val="2E9B555A"/>
    <w:rsid w:val="2EA15034"/>
    <w:rsid w:val="2EC47C6B"/>
    <w:rsid w:val="2EE161F9"/>
    <w:rsid w:val="2EEE550E"/>
    <w:rsid w:val="2EFA1321"/>
    <w:rsid w:val="2F0C123B"/>
    <w:rsid w:val="2F104EF5"/>
    <w:rsid w:val="2F241D9C"/>
    <w:rsid w:val="2F483A05"/>
    <w:rsid w:val="2F666452"/>
    <w:rsid w:val="2F800A22"/>
    <w:rsid w:val="2F880FC7"/>
    <w:rsid w:val="2F914A8F"/>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C73A2"/>
    <w:rsid w:val="310D4A9A"/>
    <w:rsid w:val="311623C2"/>
    <w:rsid w:val="31184E64"/>
    <w:rsid w:val="31310D4C"/>
    <w:rsid w:val="31337B40"/>
    <w:rsid w:val="313905F0"/>
    <w:rsid w:val="31414A5E"/>
    <w:rsid w:val="31415A00"/>
    <w:rsid w:val="3146420E"/>
    <w:rsid w:val="314D2FF9"/>
    <w:rsid w:val="31653999"/>
    <w:rsid w:val="316B25F0"/>
    <w:rsid w:val="316E4972"/>
    <w:rsid w:val="3172742B"/>
    <w:rsid w:val="318375C6"/>
    <w:rsid w:val="318C5DE1"/>
    <w:rsid w:val="31B217A1"/>
    <w:rsid w:val="31DB2ECD"/>
    <w:rsid w:val="31E831E8"/>
    <w:rsid w:val="321336D2"/>
    <w:rsid w:val="321D7C9D"/>
    <w:rsid w:val="322936D7"/>
    <w:rsid w:val="32320BDC"/>
    <w:rsid w:val="3235285C"/>
    <w:rsid w:val="323C48F6"/>
    <w:rsid w:val="324F0BF0"/>
    <w:rsid w:val="324F14D9"/>
    <w:rsid w:val="324F7611"/>
    <w:rsid w:val="32792E84"/>
    <w:rsid w:val="327970B9"/>
    <w:rsid w:val="32A56CF0"/>
    <w:rsid w:val="32A73FA5"/>
    <w:rsid w:val="32C42CAC"/>
    <w:rsid w:val="32DA6A91"/>
    <w:rsid w:val="32E06A79"/>
    <w:rsid w:val="32E12CEE"/>
    <w:rsid w:val="32F02819"/>
    <w:rsid w:val="32F9052C"/>
    <w:rsid w:val="32FB3E09"/>
    <w:rsid w:val="33121AA1"/>
    <w:rsid w:val="3317335F"/>
    <w:rsid w:val="331A4072"/>
    <w:rsid w:val="3332073B"/>
    <w:rsid w:val="333F77DD"/>
    <w:rsid w:val="33650EE0"/>
    <w:rsid w:val="33814278"/>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97FB8"/>
    <w:rsid w:val="371A59E1"/>
    <w:rsid w:val="37240250"/>
    <w:rsid w:val="373639C8"/>
    <w:rsid w:val="37580CA1"/>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A464F9"/>
    <w:rsid w:val="38AC3066"/>
    <w:rsid w:val="38AC436C"/>
    <w:rsid w:val="38B87B6E"/>
    <w:rsid w:val="38BF0F3E"/>
    <w:rsid w:val="38C95ED9"/>
    <w:rsid w:val="38CA300C"/>
    <w:rsid w:val="38D06594"/>
    <w:rsid w:val="38E060F1"/>
    <w:rsid w:val="38FC7121"/>
    <w:rsid w:val="39003390"/>
    <w:rsid w:val="39010974"/>
    <w:rsid w:val="3907079C"/>
    <w:rsid w:val="39170EC9"/>
    <w:rsid w:val="393F7622"/>
    <w:rsid w:val="39472E37"/>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F45D1"/>
    <w:rsid w:val="3A8227E5"/>
    <w:rsid w:val="3AB013BF"/>
    <w:rsid w:val="3AB6148B"/>
    <w:rsid w:val="3AB82B8A"/>
    <w:rsid w:val="3AD7234B"/>
    <w:rsid w:val="3ADE1AD5"/>
    <w:rsid w:val="3AE56805"/>
    <w:rsid w:val="3B132590"/>
    <w:rsid w:val="3B5847E9"/>
    <w:rsid w:val="3B8F407A"/>
    <w:rsid w:val="3BA60B93"/>
    <w:rsid w:val="3BB616DF"/>
    <w:rsid w:val="3BF3026A"/>
    <w:rsid w:val="3C0A10A8"/>
    <w:rsid w:val="3C125364"/>
    <w:rsid w:val="3C1F0FD1"/>
    <w:rsid w:val="3C2351B6"/>
    <w:rsid w:val="3C3521B7"/>
    <w:rsid w:val="3C444AF5"/>
    <w:rsid w:val="3C4D3897"/>
    <w:rsid w:val="3C4D6F59"/>
    <w:rsid w:val="3C521404"/>
    <w:rsid w:val="3C5E539B"/>
    <w:rsid w:val="3C630A5B"/>
    <w:rsid w:val="3C7269E9"/>
    <w:rsid w:val="3CC03974"/>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E2357D8"/>
    <w:rsid w:val="3E315296"/>
    <w:rsid w:val="3E507BFC"/>
    <w:rsid w:val="3E515C8A"/>
    <w:rsid w:val="3E596005"/>
    <w:rsid w:val="3E785D5C"/>
    <w:rsid w:val="3E833A1C"/>
    <w:rsid w:val="3E9A1ED7"/>
    <w:rsid w:val="3E9F7AC9"/>
    <w:rsid w:val="3EA93C5B"/>
    <w:rsid w:val="3EAD5512"/>
    <w:rsid w:val="3ED5179E"/>
    <w:rsid w:val="3ED573B0"/>
    <w:rsid w:val="3EE06334"/>
    <w:rsid w:val="3EE62FF1"/>
    <w:rsid w:val="3EFA70D2"/>
    <w:rsid w:val="3EFE53C3"/>
    <w:rsid w:val="3F0974B9"/>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476DE"/>
    <w:rsid w:val="40185137"/>
    <w:rsid w:val="402F14D9"/>
    <w:rsid w:val="40477AD1"/>
    <w:rsid w:val="405759DA"/>
    <w:rsid w:val="405B2D35"/>
    <w:rsid w:val="406608CC"/>
    <w:rsid w:val="406C1FA6"/>
    <w:rsid w:val="407630B7"/>
    <w:rsid w:val="407B0128"/>
    <w:rsid w:val="407E43D4"/>
    <w:rsid w:val="40873868"/>
    <w:rsid w:val="40902190"/>
    <w:rsid w:val="40BC60FB"/>
    <w:rsid w:val="40D75D3F"/>
    <w:rsid w:val="40E42E0D"/>
    <w:rsid w:val="40F8192B"/>
    <w:rsid w:val="410764E3"/>
    <w:rsid w:val="41220CAF"/>
    <w:rsid w:val="412E4991"/>
    <w:rsid w:val="413A56F6"/>
    <w:rsid w:val="4165249F"/>
    <w:rsid w:val="41762B92"/>
    <w:rsid w:val="418A6E14"/>
    <w:rsid w:val="41A27872"/>
    <w:rsid w:val="41AC2313"/>
    <w:rsid w:val="41BB44E3"/>
    <w:rsid w:val="41C50675"/>
    <w:rsid w:val="41F47D3B"/>
    <w:rsid w:val="420559B3"/>
    <w:rsid w:val="423773BA"/>
    <w:rsid w:val="42386C01"/>
    <w:rsid w:val="423A336B"/>
    <w:rsid w:val="424E1D6E"/>
    <w:rsid w:val="4252254E"/>
    <w:rsid w:val="425B59EA"/>
    <w:rsid w:val="425D2BCC"/>
    <w:rsid w:val="42937CAF"/>
    <w:rsid w:val="4298644F"/>
    <w:rsid w:val="429E6876"/>
    <w:rsid w:val="42AD2B71"/>
    <w:rsid w:val="42BC56D0"/>
    <w:rsid w:val="430168B8"/>
    <w:rsid w:val="430C159E"/>
    <w:rsid w:val="431C0FD8"/>
    <w:rsid w:val="431F3C04"/>
    <w:rsid w:val="432C69BC"/>
    <w:rsid w:val="4331203C"/>
    <w:rsid w:val="4377327F"/>
    <w:rsid w:val="43904469"/>
    <w:rsid w:val="43933CA0"/>
    <w:rsid w:val="43A82FD5"/>
    <w:rsid w:val="43B91DAA"/>
    <w:rsid w:val="43C83510"/>
    <w:rsid w:val="44081F09"/>
    <w:rsid w:val="440A2F83"/>
    <w:rsid w:val="441901BE"/>
    <w:rsid w:val="445C5D26"/>
    <w:rsid w:val="446E1F07"/>
    <w:rsid w:val="448B2102"/>
    <w:rsid w:val="449900F5"/>
    <w:rsid w:val="44A4522B"/>
    <w:rsid w:val="44B17003"/>
    <w:rsid w:val="44D22B06"/>
    <w:rsid w:val="451F55A0"/>
    <w:rsid w:val="45210077"/>
    <w:rsid w:val="453C7D64"/>
    <w:rsid w:val="453F7628"/>
    <w:rsid w:val="45403E4D"/>
    <w:rsid w:val="454050A9"/>
    <w:rsid w:val="45407AB5"/>
    <w:rsid w:val="459704A1"/>
    <w:rsid w:val="45A50F46"/>
    <w:rsid w:val="45B11EE5"/>
    <w:rsid w:val="45B95841"/>
    <w:rsid w:val="45C20E9E"/>
    <w:rsid w:val="45DA3724"/>
    <w:rsid w:val="45FA6EE8"/>
    <w:rsid w:val="461D4A97"/>
    <w:rsid w:val="461F40D3"/>
    <w:rsid w:val="4646705B"/>
    <w:rsid w:val="46513FED"/>
    <w:rsid w:val="468C02FD"/>
    <w:rsid w:val="469446D6"/>
    <w:rsid w:val="469A39EA"/>
    <w:rsid w:val="46AB2646"/>
    <w:rsid w:val="46B01C29"/>
    <w:rsid w:val="46BE36AC"/>
    <w:rsid w:val="46CA1E85"/>
    <w:rsid w:val="46E37D9E"/>
    <w:rsid w:val="46EE42DF"/>
    <w:rsid w:val="46FE3D85"/>
    <w:rsid w:val="470C633F"/>
    <w:rsid w:val="47271E3C"/>
    <w:rsid w:val="47372735"/>
    <w:rsid w:val="475F0927"/>
    <w:rsid w:val="47AB7402"/>
    <w:rsid w:val="47AC276C"/>
    <w:rsid w:val="47AD05EC"/>
    <w:rsid w:val="47AD2D46"/>
    <w:rsid w:val="47E24779"/>
    <w:rsid w:val="47FD0920"/>
    <w:rsid w:val="48136734"/>
    <w:rsid w:val="48141AAF"/>
    <w:rsid w:val="481B3258"/>
    <w:rsid w:val="482728EE"/>
    <w:rsid w:val="483F0D04"/>
    <w:rsid w:val="485830BD"/>
    <w:rsid w:val="485C3C19"/>
    <w:rsid w:val="488D33C5"/>
    <w:rsid w:val="489E3831"/>
    <w:rsid w:val="48A82E66"/>
    <w:rsid w:val="48B71159"/>
    <w:rsid w:val="48CB3FD3"/>
    <w:rsid w:val="48CE3A51"/>
    <w:rsid w:val="48E13ECD"/>
    <w:rsid w:val="48EB1726"/>
    <w:rsid w:val="48FF78DE"/>
    <w:rsid w:val="49242E99"/>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33BC5"/>
    <w:rsid w:val="4A3D6D7D"/>
    <w:rsid w:val="4A5374A0"/>
    <w:rsid w:val="4A581909"/>
    <w:rsid w:val="4A5E3812"/>
    <w:rsid w:val="4A67017F"/>
    <w:rsid w:val="4A81724A"/>
    <w:rsid w:val="4A9021DB"/>
    <w:rsid w:val="4A9E67FA"/>
    <w:rsid w:val="4AB873A4"/>
    <w:rsid w:val="4AD658D5"/>
    <w:rsid w:val="4AD94078"/>
    <w:rsid w:val="4AE44CD1"/>
    <w:rsid w:val="4AEE52AC"/>
    <w:rsid w:val="4AF41787"/>
    <w:rsid w:val="4B0444D9"/>
    <w:rsid w:val="4B13279D"/>
    <w:rsid w:val="4B244C8F"/>
    <w:rsid w:val="4B5936AA"/>
    <w:rsid w:val="4B5C462F"/>
    <w:rsid w:val="4B5D1EF4"/>
    <w:rsid w:val="4B5F55B3"/>
    <w:rsid w:val="4B6D0492"/>
    <w:rsid w:val="4B6D785E"/>
    <w:rsid w:val="4B745E42"/>
    <w:rsid w:val="4B8735C1"/>
    <w:rsid w:val="4B8F2DC3"/>
    <w:rsid w:val="4B9E091B"/>
    <w:rsid w:val="4BCF496E"/>
    <w:rsid w:val="4BDC08AD"/>
    <w:rsid w:val="4BED4D12"/>
    <w:rsid w:val="4BF34CE1"/>
    <w:rsid w:val="4BFE5090"/>
    <w:rsid w:val="4C11306C"/>
    <w:rsid w:val="4C147D69"/>
    <w:rsid w:val="4C2C1484"/>
    <w:rsid w:val="4C2E470A"/>
    <w:rsid w:val="4C3327C1"/>
    <w:rsid w:val="4C471542"/>
    <w:rsid w:val="4C4B1E3A"/>
    <w:rsid w:val="4C5C7BFB"/>
    <w:rsid w:val="4C632C63"/>
    <w:rsid w:val="4C8338E1"/>
    <w:rsid w:val="4CA45A05"/>
    <w:rsid w:val="4CB13156"/>
    <w:rsid w:val="4CC976B2"/>
    <w:rsid w:val="4CE40C32"/>
    <w:rsid w:val="4CE71BB7"/>
    <w:rsid w:val="4D185106"/>
    <w:rsid w:val="4D22443E"/>
    <w:rsid w:val="4D2401EC"/>
    <w:rsid w:val="4D316B33"/>
    <w:rsid w:val="4D321DC9"/>
    <w:rsid w:val="4D590BF1"/>
    <w:rsid w:val="4D68550E"/>
    <w:rsid w:val="4D6B1F05"/>
    <w:rsid w:val="4D8718F8"/>
    <w:rsid w:val="4D8D402F"/>
    <w:rsid w:val="4DA9749E"/>
    <w:rsid w:val="4DBC1DFB"/>
    <w:rsid w:val="4DBD4199"/>
    <w:rsid w:val="4DC12B9F"/>
    <w:rsid w:val="4DD36A02"/>
    <w:rsid w:val="4DE44058"/>
    <w:rsid w:val="4DE4442C"/>
    <w:rsid w:val="4E0D0A85"/>
    <w:rsid w:val="4E100AB2"/>
    <w:rsid w:val="4E233B3D"/>
    <w:rsid w:val="4E6B078B"/>
    <w:rsid w:val="4E8D4700"/>
    <w:rsid w:val="4EA07AD7"/>
    <w:rsid w:val="4EBD3D3C"/>
    <w:rsid w:val="4EC36A56"/>
    <w:rsid w:val="4EED4CCC"/>
    <w:rsid w:val="4EF07430"/>
    <w:rsid w:val="4F0831DA"/>
    <w:rsid w:val="4F0B36E6"/>
    <w:rsid w:val="4F3E6166"/>
    <w:rsid w:val="4F5178A3"/>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B6517B"/>
    <w:rsid w:val="50F04F55"/>
    <w:rsid w:val="512A3E35"/>
    <w:rsid w:val="51413A5A"/>
    <w:rsid w:val="51415D27"/>
    <w:rsid w:val="514D4018"/>
    <w:rsid w:val="51596572"/>
    <w:rsid w:val="517F4BC4"/>
    <w:rsid w:val="51A20030"/>
    <w:rsid w:val="51A73B0A"/>
    <w:rsid w:val="51C407B0"/>
    <w:rsid w:val="51C615D4"/>
    <w:rsid w:val="51CB0037"/>
    <w:rsid w:val="51E84F86"/>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86EE4"/>
    <w:rsid w:val="5339007E"/>
    <w:rsid w:val="535C76C6"/>
    <w:rsid w:val="53637DCA"/>
    <w:rsid w:val="537257C5"/>
    <w:rsid w:val="53A157B9"/>
    <w:rsid w:val="53B85768"/>
    <w:rsid w:val="53BA2E6A"/>
    <w:rsid w:val="53C33CD8"/>
    <w:rsid w:val="53C43BC7"/>
    <w:rsid w:val="53D61973"/>
    <w:rsid w:val="53DF5628"/>
    <w:rsid w:val="53F6304F"/>
    <w:rsid w:val="5425031B"/>
    <w:rsid w:val="54450EFA"/>
    <w:rsid w:val="54534028"/>
    <w:rsid w:val="54537B65"/>
    <w:rsid w:val="545E27DF"/>
    <w:rsid w:val="54843BB7"/>
    <w:rsid w:val="54FB4AFB"/>
    <w:rsid w:val="55402408"/>
    <w:rsid w:val="55413F6A"/>
    <w:rsid w:val="5553267F"/>
    <w:rsid w:val="55584384"/>
    <w:rsid w:val="555A26FB"/>
    <w:rsid w:val="5570591E"/>
    <w:rsid w:val="55934C35"/>
    <w:rsid w:val="559B18F9"/>
    <w:rsid w:val="55A84C13"/>
    <w:rsid w:val="55E8288A"/>
    <w:rsid w:val="55F310CC"/>
    <w:rsid w:val="55F70216"/>
    <w:rsid w:val="56013ABB"/>
    <w:rsid w:val="563D4EBF"/>
    <w:rsid w:val="56573ACF"/>
    <w:rsid w:val="565A2562"/>
    <w:rsid w:val="565B7F3A"/>
    <w:rsid w:val="5665084A"/>
    <w:rsid w:val="56834D00"/>
    <w:rsid w:val="568432FD"/>
    <w:rsid w:val="568C4C53"/>
    <w:rsid w:val="569430D1"/>
    <w:rsid w:val="56945527"/>
    <w:rsid w:val="56A207E4"/>
    <w:rsid w:val="56A516E6"/>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851FA6"/>
    <w:rsid w:val="578B60AE"/>
    <w:rsid w:val="57B8020A"/>
    <w:rsid w:val="57D10DA1"/>
    <w:rsid w:val="580C7901"/>
    <w:rsid w:val="58160449"/>
    <w:rsid w:val="582721E3"/>
    <w:rsid w:val="583D1F4B"/>
    <w:rsid w:val="5841015B"/>
    <w:rsid w:val="5860518C"/>
    <w:rsid w:val="586256A7"/>
    <w:rsid w:val="58840844"/>
    <w:rsid w:val="589C3163"/>
    <w:rsid w:val="58A310F9"/>
    <w:rsid w:val="58A42014"/>
    <w:rsid w:val="58D91F55"/>
    <w:rsid w:val="58E53F4D"/>
    <w:rsid w:val="59144198"/>
    <w:rsid w:val="59456704"/>
    <w:rsid w:val="5950021B"/>
    <w:rsid w:val="59502516"/>
    <w:rsid w:val="5955281D"/>
    <w:rsid w:val="59A26A9D"/>
    <w:rsid w:val="59B014A3"/>
    <w:rsid w:val="59B05DB3"/>
    <w:rsid w:val="59D04D4F"/>
    <w:rsid w:val="59D51EEC"/>
    <w:rsid w:val="59DA6BF7"/>
    <w:rsid w:val="59E37225"/>
    <w:rsid w:val="5A0C6784"/>
    <w:rsid w:val="5A2921FA"/>
    <w:rsid w:val="5A4B01B0"/>
    <w:rsid w:val="5A4B611D"/>
    <w:rsid w:val="5A4D3444"/>
    <w:rsid w:val="5A5C0A61"/>
    <w:rsid w:val="5A682201"/>
    <w:rsid w:val="5A6F65C2"/>
    <w:rsid w:val="5A8B4626"/>
    <w:rsid w:val="5AA453D4"/>
    <w:rsid w:val="5AB4402F"/>
    <w:rsid w:val="5AEA1628"/>
    <w:rsid w:val="5AF63138"/>
    <w:rsid w:val="5AF7549A"/>
    <w:rsid w:val="5AFF3461"/>
    <w:rsid w:val="5B141A61"/>
    <w:rsid w:val="5B1E41F8"/>
    <w:rsid w:val="5B1E6E24"/>
    <w:rsid w:val="5B2118F7"/>
    <w:rsid w:val="5B4C1057"/>
    <w:rsid w:val="5B603D7C"/>
    <w:rsid w:val="5B885541"/>
    <w:rsid w:val="5BC16969"/>
    <w:rsid w:val="5BD777E6"/>
    <w:rsid w:val="5C122D5E"/>
    <w:rsid w:val="5C330BCF"/>
    <w:rsid w:val="5C733038"/>
    <w:rsid w:val="5C737D2C"/>
    <w:rsid w:val="5C7E6E4B"/>
    <w:rsid w:val="5C817DEC"/>
    <w:rsid w:val="5C8F2968"/>
    <w:rsid w:val="5C9A2097"/>
    <w:rsid w:val="5CAB6A15"/>
    <w:rsid w:val="5CAC7202"/>
    <w:rsid w:val="5CB26DE8"/>
    <w:rsid w:val="5CD21B5F"/>
    <w:rsid w:val="5CE738DA"/>
    <w:rsid w:val="5CF1718A"/>
    <w:rsid w:val="5D1B7965"/>
    <w:rsid w:val="5D365596"/>
    <w:rsid w:val="5D446203"/>
    <w:rsid w:val="5D476B7B"/>
    <w:rsid w:val="5D52647E"/>
    <w:rsid w:val="5D5668B3"/>
    <w:rsid w:val="5D6C32DC"/>
    <w:rsid w:val="5D8C1586"/>
    <w:rsid w:val="5D8F380B"/>
    <w:rsid w:val="5D906018"/>
    <w:rsid w:val="5D911291"/>
    <w:rsid w:val="5D9A6C97"/>
    <w:rsid w:val="5D9B7BB6"/>
    <w:rsid w:val="5DA452EC"/>
    <w:rsid w:val="5DB67994"/>
    <w:rsid w:val="5DC0655D"/>
    <w:rsid w:val="5DE35818"/>
    <w:rsid w:val="5DEA5196"/>
    <w:rsid w:val="5DFB71CE"/>
    <w:rsid w:val="5E3E5798"/>
    <w:rsid w:val="5E7B3AF8"/>
    <w:rsid w:val="5E7D703F"/>
    <w:rsid w:val="5E8A14A9"/>
    <w:rsid w:val="5E952F92"/>
    <w:rsid w:val="5EB804F7"/>
    <w:rsid w:val="5EC41684"/>
    <w:rsid w:val="5EDB3C26"/>
    <w:rsid w:val="5F1C698C"/>
    <w:rsid w:val="5F2E10CF"/>
    <w:rsid w:val="5F393BBF"/>
    <w:rsid w:val="5F503E46"/>
    <w:rsid w:val="5F5825D3"/>
    <w:rsid w:val="5F6B6599"/>
    <w:rsid w:val="5FB07830"/>
    <w:rsid w:val="5FB15CCE"/>
    <w:rsid w:val="5FD149C5"/>
    <w:rsid w:val="5FD501C7"/>
    <w:rsid w:val="5FE71C0A"/>
    <w:rsid w:val="5FFD3F1E"/>
    <w:rsid w:val="600B0C58"/>
    <w:rsid w:val="600B2AA4"/>
    <w:rsid w:val="600D74F7"/>
    <w:rsid w:val="60195438"/>
    <w:rsid w:val="601A2EBA"/>
    <w:rsid w:val="60261E8C"/>
    <w:rsid w:val="6028529C"/>
    <w:rsid w:val="605C6A77"/>
    <w:rsid w:val="607A0954"/>
    <w:rsid w:val="60843A2C"/>
    <w:rsid w:val="608E3C91"/>
    <w:rsid w:val="60990088"/>
    <w:rsid w:val="60997EB4"/>
    <w:rsid w:val="60A3539C"/>
    <w:rsid w:val="60AC022A"/>
    <w:rsid w:val="60C56EFB"/>
    <w:rsid w:val="60D11363"/>
    <w:rsid w:val="60D47226"/>
    <w:rsid w:val="60E46266"/>
    <w:rsid w:val="60E63CC9"/>
    <w:rsid w:val="61115D0C"/>
    <w:rsid w:val="61277B74"/>
    <w:rsid w:val="61336954"/>
    <w:rsid w:val="616748AA"/>
    <w:rsid w:val="61886913"/>
    <w:rsid w:val="619929B6"/>
    <w:rsid w:val="61AF068E"/>
    <w:rsid w:val="61BF76A4"/>
    <w:rsid w:val="61C77DA0"/>
    <w:rsid w:val="61D07906"/>
    <w:rsid w:val="61E345CA"/>
    <w:rsid w:val="61E736CF"/>
    <w:rsid w:val="621351F3"/>
    <w:rsid w:val="62360387"/>
    <w:rsid w:val="626604B9"/>
    <w:rsid w:val="628864B6"/>
    <w:rsid w:val="62A65A66"/>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B13A1E"/>
    <w:rsid w:val="64B557C6"/>
    <w:rsid w:val="64C762EE"/>
    <w:rsid w:val="64C8331B"/>
    <w:rsid w:val="6505464C"/>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3335DC"/>
    <w:rsid w:val="678D29F1"/>
    <w:rsid w:val="678E0472"/>
    <w:rsid w:val="67940B85"/>
    <w:rsid w:val="67976B83"/>
    <w:rsid w:val="67A40D91"/>
    <w:rsid w:val="67AD7C40"/>
    <w:rsid w:val="67DC52AF"/>
    <w:rsid w:val="67EB4E2E"/>
    <w:rsid w:val="67FB2D76"/>
    <w:rsid w:val="68014F5D"/>
    <w:rsid w:val="680F1CC5"/>
    <w:rsid w:val="6819213A"/>
    <w:rsid w:val="681D772A"/>
    <w:rsid w:val="687B4BF8"/>
    <w:rsid w:val="688504B1"/>
    <w:rsid w:val="688F307D"/>
    <w:rsid w:val="689D333D"/>
    <w:rsid w:val="68B85685"/>
    <w:rsid w:val="68DC3063"/>
    <w:rsid w:val="68E1201D"/>
    <w:rsid w:val="68EB3277"/>
    <w:rsid w:val="68EC0422"/>
    <w:rsid w:val="6923694C"/>
    <w:rsid w:val="69237EF2"/>
    <w:rsid w:val="69241843"/>
    <w:rsid w:val="693115D2"/>
    <w:rsid w:val="695D1FE3"/>
    <w:rsid w:val="696714E2"/>
    <w:rsid w:val="6969738E"/>
    <w:rsid w:val="69725190"/>
    <w:rsid w:val="697A1E70"/>
    <w:rsid w:val="69840D94"/>
    <w:rsid w:val="698A6FB3"/>
    <w:rsid w:val="69966649"/>
    <w:rsid w:val="69DD07ED"/>
    <w:rsid w:val="69DE4130"/>
    <w:rsid w:val="6A0016F1"/>
    <w:rsid w:val="6A373BFC"/>
    <w:rsid w:val="6A7449B2"/>
    <w:rsid w:val="6A9929F4"/>
    <w:rsid w:val="6ACB2E33"/>
    <w:rsid w:val="6ACC52E9"/>
    <w:rsid w:val="6ACF763D"/>
    <w:rsid w:val="6AD63A5F"/>
    <w:rsid w:val="6AE01CC6"/>
    <w:rsid w:val="6AED54C5"/>
    <w:rsid w:val="6B2A231E"/>
    <w:rsid w:val="6B2E7664"/>
    <w:rsid w:val="6B586ED0"/>
    <w:rsid w:val="6B940900"/>
    <w:rsid w:val="6B9659D1"/>
    <w:rsid w:val="6B992596"/>
    <w:rsid w:val="6BA40927"/>
    <w:rsid w:val="6BAC5136"/>
    <w:rsid w:val="6BB37DB8"/>
    <w:rsid w:val="6BBC4E35"/>
    <w:rsid w:val="6BC37142"/>
    <w:rsid w:val="6BC859EC"/>
    <w:rsid w:val="6BCB1147"/>
    <w:rsid w:val="6BD732D1"/>
    <w:rsid w:val="6BF16ADA"/>
    <w:rsid w:val="6C0B4072"/>
    <w:rsid w:val="6C105A58"/>
    <w:rsid w:val="6C1364EE"/>
    <w:rsid w:val="6C223623"/>
    <w:rsid w:val="6C2B3181"/>
    <w:rsid w:val="6C895159"/>
    <w:rsid w:val="6CD00E99"/>
    <w:rsid w:val="6CEF2A56"/>
    <w:rsid w:val="6D1D2712"/>
    <w:rsid w:val="6D1E0E11"/>
    <w:rsid w:val="6D205895"/>
    <w:rsid w:val="6D2C40DA"/>
    <w:rsid w:val="6D711158"/>
    <w:rsid w:val="6D717C1E"/>
    <w:rsid w:val="6D7C7BAA"/>
    <w:rsid w:val="6D8433BC"/>
    <w:rsid w:val="6D8455BA"/>
    <w:rsid w:val="6D920153"/>
    <w:rsid w:val="6DA16A1C"/>
    <w:rsid w:val="6DA72D47"/>
    <w:rsid w:val="6DAF1C81"/>
    <w:rsid w:val="6DAF4A10"/>
    <w:rsid w:val="6DD250A5"/>
    <w:rsid w:val="6DE90B62"/>
    <w:rsid w:val="6E005087"/>
    <w:rsid w:val="6E025356"/>
    <w:rsid w:val="6E0E5A2B"/>
    <w:rsid w:val="6E2B203D"/>
    <w:rsid w:val="6E420B2D"/>
    <w:rsid w:val="6E4474A8"/>
    <w:rsid w:val="6E7521C9"/>
    <w:rsid w:val="6E7C3D78"/>
    <w:rsid w:val="6EA25D92"/>
    <w:rsid w:val="6EA51FEB"/>
    <w:rsid w:val="6EB754FC"/>
    <w:rsid w:val="6EBF447C"/>
    <w:rsid w:val="6ECD2EFE"/>
    <w:rsid w:val="6EE113A4"/>
    <w:rsid w:val="6EF967A0"/>
    <w:rsid w:val="6EFD396C"/>
    <w:rsid w:val="6F0674FF"/>
    <w:rsid w:val="6F2F0E79"/>
    <w:rsid w:val="6F3F3691"/>
    <w:rsid w:val="6F49144D"/>
    <w:rsid w:val="6F8A5194"/>
    <w:rsid w:val="6FA40E37"/>
    <w:rsid w:val="6FC05107"/>
    <w:rsid w:val="6FCB133A"/>
    <w:rsid w:val="6FEC122C"/>
    <w:rsid w:val="6FF35ED1"/>
    <w:rsid w:val="700B3C9A"/>
    <w:rsid w:val="700E3F90"/>
    <w:rsid w:val="702B4594"/>
    <w:rsid w:val="70471141"/>
    <w:rsid w:val="705169D2"/>
    <w:rsid w:val="705F3769"/>
    <w:rsid w:val="706E7C5A"/>
    <w:rsid w:val="70734988"/>
    <w:rsid w:val="708E09C8"/>
    <w:rsid w:val="709D4BC6"/>
    <w:rsid w:val="70A86CD7"/>
    <w:rsid w:val="70B712FE"/>
    <w:rsid w:val="70BA0B48"/>
    <w:rsid w:val="70E7043C"/>
    <w:rsid w:val="70F80464"/>
    <w:rsid w:val="710160B5"/>
    <w:rsid w:val="71043090"/>
    <w:rsid w:val="71155816"/>
    <w:rsid w:val="712041AC"/>
    <w:rsid w:val="712B420C"/>
    <w:rsid w:val="713A694F"/>
    <w:rsid w:val="713C1E52"/>
    <w:rsid w:val="7140235F"/>
    <w:rsid w:val="7144725F"/>
    <w:rsid w:val="71633397"/>
    <w:rsid w:val="717133FA"/>
    <w:rsid w:val="717B0A3E"/>
    <w:rsid w:val="717D0177"/>
    <w:rsid w:val="71847F3E"/>
    <w:rsid w:val="718F13CF"/>
    <w:rsid w:val="71A053FA"/>
    <w:rsid w:val="71C139F6"/>
    <w:rsid w:val="71CF02A4"/>
    <w:rsid w:val="71D12075"/>
    <w:rsid w:val="71DB0593"/>
    <w:rsid w:val="71F64B04"/>
    <w:rsid w:val="720A7028"/>
    <w:rsid w:val="721037CA"/>
    <w:rsid w:val="7216791F"/>
    <w:rsid w:val="722A4105"/>
    <w:rsid w:val="72527F77"/>
    <w:rsid w:val="72606732"/>
    <w:rsid w:val="726561BD"/>
    <w:rsid w:val="729A0EE0"/>
    <w:rsid w:val="72A02D30"/>
    <w:rsid w:val="72B41A3F"/>
    <w:rsid w:val="72BF6CA4"/>
    <w:rsid w:val="72C00DB2"/>
    <w:rsid w:val="72C309D4"/>
    <w:rsid w:val="72F05AD1"/>
    <w:rsid w:val="73085C4E"/>
    <w:rsid w:val="733C2B39"/>
    <w:rsid w:val="734B707A"/>
    <w:rsid w:val="735636FE"/>
    <w:rsid w:val="73610221"/>
    <w:rsid w:val="73616C5B"/>
    <w:rsid w:val="73923252"/>
    <w:rsid w:val="73A52ADB"/>
    <w:rsid w:val="73F04490"/>
    <w:rsid w:val="73FA64D3"/>
    <w:rsid w:val="740857E9"/>
    <w:rsid w:val="74230A74"/>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911F0"/>
    <w:rsid w:val="773A73DD"/>
    <w:rsid w:val="77540EAB"/>
    <w:rsid w:val="775E4966"/>
    <w:rsid w:val="77720FB5"/>
    <w:rsid w:val="77760FFC"/>
    <w:rsid w:val="77CC63EB"/>
    <w:rsid w:val="77E34BBF"/>
    <w:rsid w:val="77EE514F"/>
    <w:rsid w:val="78342D62"/>
    <w:rsid w:val="786A2128"/>
    <w:rsid w:val="787378B8"/>
    <w:rsid w:val="787F5E0E"/>
    <w:rsid w:val="789A41C2"/>
    <w:rsid w:val="78AF300E"/>
    <w:rsid w:val="78B86A6C"/>
    <w:rsid w:val="78BD3A05"/>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D548EA"/>
    <w:rsid w:val="79DD070F"/>
    <w:rsid w:val="79F57AA2"/>
    <w:rsid w:val="7A024427"/>
    <w:rsid w:val="7A2902FC"/>
    <w:rsid w:val="7A543032"/>
    <w:rsid w:val="7A7747EC"/>
    <w:rsid w:val="7A883FEE"/>
    <w:rsid w:val="7AA51AE9"/>
    <w:rsid w:val="7AB93063"/>
    <w:rsid w:val="7ABF07F0"/>
    <w:rsid w:val="7ACD1F05"/>
    <w:rsid w:val="7ACF3A41"/>
    <w:rsid w:val="7ADC6EC3"/>
    <w:rsid w:val="7ADE198C"/>
    <w:rsid w:val="7B111CB9"/>
    <w:rsid w:val="7B3B0CF5"/>
    <w:rsid w:val="7B3B7D1C"/>
    <w:rsid w:val="7B402043"/>
    <w:rsid w:val="7B587D8B"/>
    <w:rsid w:val="7B5F4AF6"/>
    <w:rsid w:val="7B6446E7"/>
    <w:rsid w:val="7B7421C6"/>
    <w:rsid w:val="7B897F9C"/>
    <w:rsid w:val="7B8B6C3F"/>
    <w:rsid w:val="7B974C50"/>
    <w:rsid w:val="7BBF0DE6"/>
    <w:rsid w:val="7BC94525"/>
    <w:rsid w:val="7BCA41A5"/>
    <w:rsid w:val="7BDE0036"/>
    <w:rsid w:val="7BE90B2B"/>
    <w:rsid w:val="7C0C42D3"/>
    <w:rsid w:val="7C2D09C7"/>
    <w:rsid w:val="7C384371"/>
    <w:rsid w:val="7C420509"/>
    <w:rsid w:val="7C5F39D5"/>
    <w:rsid w:val="7C607F1C"/>
    <w:rsid w:val="7C853942"/>
    <w:rsid w:val="7CAA7097"/>
    <w:rsid w:val="7CBA3DB9"/>
    <w:rsid w:val="7CE615AE"/>
    <w:rsid w:val="7CEF733F"/>
    <w:rsid w:val="7CF96612"/>
    <w:rsid w:val="7D0261D9"/>
    <w:rsid w:val="7D296539"/>
    <w:rsid w:val="7D2A34EB"/>
    <w:rsid w:val="7D3014EE"/>
    <w:rsid w:val="7D423956"/>
    <w:rsid w:val="7D4D65D6"/>
    <w:rsid w:val="7D5A7F7D"/>
    <w:rsid w:val="7D6361EF"/>
    <w:rsid w:val="7D696B90"/>
    <w:rsid w:val="7D6A3C51"/>
    <w:rsid w:val="7D80686A"/>
    <w:rsid w:val="7D9010A7"/>
    <w:rsid w:val="7D9646F1"/>
    <w:rsid w:val="7D983CB5"/>
    <w:rsid w:val="7DA13DAB"/>
    <w:rsid w:val="7DAC06B5"/>
    <w:rsid w:val="7DAE2712"/>
    <w:rsid w:val="7DB36FB1"/>
    <w:rsid w:val="7DB52379"/>
    <w:rsid w:val="7DB76B9E"/>
    <w:rsid w:val="7DDA72F8"/>
    <w:rsid w:val="7E3434E3"/>
    <w:rsid w:val="7E3E74AD"/>
    <w:rsid w:val="7E497A3C"/>
    <w:rsid w:val="7E4C58A3"/>
    <w:rsid w:val="7E5073C7"/>
    <w:rsid w:val="7E610386"/>
    <w:rsid w:val="7E6A3158"/>
    <w:rsid w:val="7E7E34B2"/>
    <w:rsid w:val="7E9C40FF"/>
    <w:rsid w:val="7EAA45DE"/>
    <w:rsid w:val="7EC20180"/>
    <w:rsid w:val="7EC32A29"/>
    <w:rsid w:val="7ECC4429"/>
    <w:rsid w:val="7ED812E4"/>
    <w:rsid w:val="7EEE7388"/>
    <w:rsid w:val="7EF02F3D"/>
    <w:rsid w:val="7F0B337E"/>
    <w:rsid w:val="7F122D08"/>
    <w:rsid w:val="7F28568F"/>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7"/>
    <w:qFormat/>
    <w:uiPriority w:val="9"/>
    <w:pPr>
      <w:keepNext/>
      <w:keepLines/>
      <w:spacing w:before="340" w:after="330" w:line="578" w:lineRule="auto"/>
      <w:outlineLvl w:val="0"/>
    </w:pPr>
    <w:rPr>
      <w:rFonts w:eastAsia="仿宋_GB2312"/>
      <w:b/>
      <w:bCs/>
      <w:kern w:val="44"/>
      <w:sz w:val="24"/>
      <w:szCs w:val="44"/>
    </w:rPr>
  </w:style>
  <w:style w:type="paragraph" w:styleId="2">
    <w:name w:val="heading 2"/>
    <w:basedOn w:val="1"/>
    <w:next w:val="1"/>
    <w:link w:val="36"/>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5"/>
    <w:unhideWhenUsed/>
    <w:qFormat/>
    <w:uiPriority w:val="9"/>
    <w:pPr>
      <w:keepNext/>
      <w:keepLines/>
      <w:spacing w:before="260" w:after="260" w:line="416" w:lineRule="auto"/>
      <w:jc w:val="left"/>
      <w:outlineLvl w:val="2"/>
    </w:pPr>
    <w:rPr>
      <w:rFonts w:ascii="仿宋" w:hAnsi="仿宋" w:eastAsia="仿宋_GB2312"/>
      <w:bCs/>
      <w:sz w:val="28"/>
      <w:szCs w:val="32"/>
    </w:rPr>
  </w:style>
  <w:style w:type="paragraph" w:styleId="5">
    <w:name w:val="heading 4"/>
    <w:basedOn w:val="1"/>
    <w:next w:val="1"/>
    <w:qFormat/>
    <w:uiPriority w:val="99"/>
    <w:pPr>
      <w:keepNext/>
      <w:keepLines/>
      <w:tabs>
        <w:tab w:val="left" w:pos="0"/>
      </w:tabs>
      <w:spacing w:line="360"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unhideWhenUsed/>
    <w:qFormat/>
    <w:uiPriority w:val="99"/>
    <w:pPr>
      <w:spacing w:line="288" w:lineRule="auto"/>
      <w:ind w:firstLine="680"/>
    </w:pPr>
    <w:rPr>
      <w:rFonts w:ascii="楷体_GB2312"/>
      <w:sz w:val="32"/>
      <w:szCs w:val="32"/>
    </w:rPr>
  </w:style>
  <w:style w:type="paragraph" w:styleId="7">
    <w:name w:val="annotation text"/>
    <w:basedOn w:val="1"/>
    <w:unhideWhenUsed/>
    <w:qFormat/>
    <w:uiPriority w:val="99"/>
    <w:pPr>
      <w:jc w:val="left"/>
    </w:pPr>
  </w:style>
  <w:style w:type="paragraph" w:styleId="8">
    <w:name w:val="Body Text"/>
    <w:basedOn w:val="1"/>
    <w:qFormat/>
    <w:uiPriority w:val="1"/>
    <w:rPr>
      <w:rFonts w:ascii="宋体" w:hAnsi="宋体" w:cs="宋体"/>
      <w:szCs w:val="21"/>
      <w:lang w:val="zh-CN" w:bidi="zh-CN"/>
    </w:rPr>
  </w:style>
  <w:style w:type="paragraph" w:styleId="9">
    <w:name w:val="Body Text Indent"/>
    <w:basedOn w:val="1"/>
    <w:qFormat/>
    <w:uiPriority w:val="0"/>
    <w:pPr>
      <w:tabs>
        <w:tab w:val="left" w:pos="992"/>
      </w:tabs>
      <w:ind w:firstLine="560" w:firstLineChars="200"/>
    </w:pPr>
  </w:style>
  <w:style w:type="paragraph" w:styleId="10">
    <w:name w:val="Plain Text"/>
    <w:basedOn w:val="1"/>
    <w:unhideWhenUsed/>
    <w:qFormat/>
    <w:uiPriority w:val="0"/>
    <w:rPr>
      <w:rFonts w:ascii="宋体" w:hAnsi="Courier New"/>
      <w:szCs w:val="21"/>
    </w:rPr>
  </w:style>
  <w:style w:type="paragraph" w:styleId="11">
    <w:name w:val="Date"/>
    <w:basedOn w:val="1"/>
    <w:next w:val="1"/>
    <w:qFormat/>
    <w:uiPriority w:val="0"/>
    <w:rPr>
      <w:rFonts w:ascii="Times New Roman" w:hAnsi="Times New Roman"/>
      <w:kern w:val="0"/>
      <w:sz w:val="20"/>
      <w:szCs w:val="20"/>
    </w:rPr>
  </w:style>
  <w:style w:type="paragraph" w:styleId="12">
    <w:name w:val="Balloon Text"/>
    <w:basedOn w:val="1"/>
    <w:link w:val="34"/>
    <w:unhideWhenUsed/>
    <w:qFormat/>
    <w:uiPriority w:val="99"/>
    <w:rPr>
      <w:sz w:val="18"/>
      <w:szCs w:val="18"/>
    </w:r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left" w:pos="1050"/>
        <w:tab w:val="right" w:leader="dot" w:pos="8296"/>
      </w:tabs>
    </w:pPr>
  </w:style>
  <w:style w:type="paragraph" w:styleId="16">
    <w:name w:val="toc 2"/>
    <w:basedOn w:val="1"/>
    <w:next w:val="1"/>
    <w:unhideWhenUsed/>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7"/>
    <w:next w:val="15"/>
    <w:semiHidden/>
    <w:qFormat/>
    <w:uiPriority w:val="0"/>
    <w:rPr>
      <w:b/>
      <w:bCs/>
    </w:rPr>
  </w:style>
  <w:style w:type="paragraph" w:styleId="19">
    <w:name w:val="Body Text First Indent 2"/>
    <w:basedOn w:val="9"/>
    <w:next w:val="1"/>
    <w:qFormat/>
    <w:uiPriority w:val="0"/>
    <w:pPr>
      <w:spacing w:after="120"/>
      <w:ind w:left="420" w:leftChars="200" w:firstLine="420"/>
    </w:pPr>
    <w:rPr>
      <w:bCs/>
    </w:rPr>
  </w:style>
  <w:style w:type="table" w:styleId="21">
    <w:name w:val="Table Grid"/>
    <w:basedOn w:val="2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nhideWhenUsed/>
    <w:qFormat/>
    <w:uiPriority w:val="0"/>
  </w:style>
  <w:style w:type="character" w:styleId="24">
    <w:name w:val="Hyperlink"/>
    <w:unhideWhenUsed/>
    <w:qFormat/>
    <w:uiPriority w:val="99"/>
    <w:rPr>
      <w:color w:val="0000FF"/>
      <w:u w:val="single"/>
    </w:rPr>
  </w:style>
  <w:style w:type="character" w:styleId="25">
    <w:name w:val="annotation reference"/>
    <w:basedOn w:val="22"/>
    <w:semiHidden/>
    <w:unhideWhenUsed/>
    <w:qFormat/>
    <w:uiPriority w:val="99"/>
    <w:rPr>
      <w:sz w:val="21"/>
      <w:szCs w:val="21"/>
    </w:rPr>
  </w:style>
  <w:style w:type="paragraph" w:customStyle="1" w:styleId="26">
    <w:name w:val="正文（缩进）"/>
    <w:basedOn w:val="1"/>
    <w:qFormat/>
    <w:uiPriority w:val="0"/>
    <w:pPr>
      <w:spacing w:before="156" w:after="156"/>
      <w:ind w:firstLine="480" w:firstLineChars="200"/>
    </w:pPr>
  </w:style>
  <w:style w:type="paragraph" w:customStyle="1" w:styleId="27">
    <w:name w:val="汇编标题1"/>
    <w:basedOn w:val="3"/>
    <w:next w:val="28"/>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8">
    <w:name w:val="汇编正文"/>
    <w:basedOn w:val="1"/>
    <w:next w:val="29"/>
    <w:qFormat/>
    <w:uiPriority w:val="99"/>
    <w:pPr>
      <w:snapToGrid w:val="0"/>
      <w:spacing w:line="360" w:lineRule="atLeast"/>
    </w:pPr>
    <w:rPr>
      <w:color w:val="000000"/>
      <w:lang w:val="zh-CN"/>
    </w:rPr>
  </w:style>
  <w:style w:type="paragraph" w:customStyle="1" w:styleId="29">
    <w:name w:val="样式 标题 1 + 黑体 三号 非加粗 居中 段前: 6 磅 段后: 6 磅 行距: 固定值 20 磅"/>
    <w:basedOn w:val="3"/>
    <w:next w:val="18"/>
    <w:qFormat/>
    <w:uiPriority w:val="0"/>
    <w:pPr>
      <w:spacing w:before="120" w:after="120" w:line="400" w:lineRule="exact"/>
      <w:jc w:val="center"/>
    </w:pPr>
    <w:rPr>
      <w:rFonts w:ascii="黑体" w:hAnsi="黑体" w:eastAsia="黑体" w:cs="宋体"/>
      <w:b w:val="0"/>
      <w:sz w:val="32"/>
      <w:szCs w:val="20"/>
    </w:rPr>
  </w:style>
  <w:style w:type="paragraph" w:customStyle="1" w:styleId="30">
    <w:name w:val="列出段落1"/>
    <w:basedOn w:val="1"/>
    <w:qFormat/>
    <w:uiPriority w:val="34"/>
    <w:pPr>
      <w:ind w:firstLine="420" w:firstLineChars="200"/>
    </w:pPr>
  </w:style>
  <w:style w:type="paragraph" w:customStyle="1" w:styleId="31">
    <w:name w:val="TOC 标题1"/>
    <w:basedOn w:val="3"/>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2">
    <w:name w:val="页眉 字符"/>
    <w:link w:val="14"/>
    <w:semiHidden/>
    <w:qFormat/>
    <w:uiPriority w:val="99"/>
    <w:rPr>
      <w:sz w:val="18"/>
      <w:szCs w:val="18"/>
    </w:rPr>
  </w:style>
  <w:style w:type="character" w:customStyle="1" w:styleId="33">
    <w:name w:val="页脚 字符"/>
    <w:link w:val="13"/>
    <w:semiHidden/>
    <w:qFormat/>
    <w:uiPriority w:val="99"/>
    <w:rPr>
      <w:sz w:val="18"/>
      <w:szCs w:val="18"/>
    </w:rPr>
  </w:style>
  <w:style w:type="character" w:customStyle="1" w:styleId="34">
    <w:name w:val="批注框文本 字符"/>
    <w:link w:val="12"/>
    <w:semiHidden/>
    <w:qFormat/>
    <w:uiPriority w:val="99"/>
    <w:rPr>
      <w:sz w:val="18"/>
      <w:szCs w:val="18"/>
    </w:rPr>
  </w:style>
  <w:style w:type="character" w:customStyle="1" w:styleId="35">
    <w:name w:val="标题 3 字符"/>
    <w:link w:val="4"/>
    <w:qFormat/>
    <w:uiPriority w:val="9"/>
    <w:rPr>
      <w:rFonts w:ascii="仿宋" w:hAnsi="仿宋" w:eastAsia="仿宋_GB2312" w:cs="Times New Roman"/>
      <w:bCs/>
      <w:sz w:val="28"/>
      <w:szCs w:val="32"/>
    </w:rPr>
  </w:style>
  <w:style w:type="character" w:customStyle="1" w:styleId="36">
    <w:name w:val="标题 2 字符"/>
    <w:link w:val="2"/>
    <w:qFormat/>
    <w:uiPriority w:val="9"/>
    <w:rPr>
      <w:rFonts w:ascii="Cambria" w:hAnsi="Cambria" w:eastAsia="仿宋_GB2312"/>
      <w:b/>
      <w:bCs/>
      <w:sz w:val="30"/>
      <w:szCs w:val="32"/>
    </w:rPr>
  </w:style>
  <w:style w:type="character" w:customStyle="1" w:styleId="37">
    <w:name w:val="标题 1 字符"/>
    <w:link w:val="3"/>
    <w:qFormat/>
    <w:uiPriority w:val="9"/>
    <w:rPr>
      <w:rFonts w:eastAsia="仿宋_GB2312"/>
      <w:b/>
      <w:bCs/>
      <w:kern w:val="44"/>
      <w:sz w:val="24"/>
      <w:szCs w:val="44"/>
    </w:rPr>
  </w:style>
  <w:style w:type="paragraph" w:customStyle="1" w:styleId="38">
    <w:name w:val="Default"/>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table" w:customStyle="1" w:styleId="39">
    <w:name w:val="Table Normal"/>
    <w:semiHidden/>
    <w:unhideWhenUsed/>
    <w:qFormat/>
    <w:uiPriority w:val="0"/>
    <w:tblPr>
      <w:tblCellMar>
        <w:top w:w="0" w:type="dxa"/>
        <w:left w:w="0" w:type="dxa"/>
        <w:bottom w:w="0" w:type="dxa"/>
        <w:right w:w="0" w:type="dxa"/>
      </w:tblCellMar>
    </w:tblPr>
  </w:style>
  <w:style w:type="paragraph" w:customStyle="1" w:styleId="40">
    <w:name w:val="Table Text"/>
    <w:basedOn w:val="1"/>
    <w:semiHidden/>
    <w:qFormat/>
    <w:uiPriority w:val="0"/>
    <w:rPr>
      <w:rFonts w:ascii="宋体" w:hAnsi="宋体" w:cs="宋体"/>
      <w:sz w:val="20"/>
      <w:szCs w:val="20"/>
    </w:rPr>
  </w:style>
  <w:style w:type="paragraph" w:customStyle="1" w:styleId="41">
    <w:name w:val="1"/>
    <w:basedOn w:val="1"/>
    <w:qFormat/>
    <w:uiPriority w:val="0"/>
    <w:rPr>
      <w:szCs w:val="21"/>
    </w:rPr>
  </w:style>
  <w:style w:type="paragraph" w:customStyle="1" w:styleId="42">
    <w:name w:val="样式 55 + (西文) Times New Roman (中文) 宋体 五号 加粗 行距: 1.5 倍行距"/>
    <w:basedOn w:val="43"/>
    <w:qFormat/>
    <w:uiPriority w:val="0"/>
    <w:pPr>
      <w:snapToGrid w:val="0"/>
      <w:spacing w:line="360" w:lineRule="auto"/>
      <w:ind w:firstLine="0"/>
    </w:pPr>
    <w:rPr>
      <w:rFonts w:ascii="Times New Roman" w:eastAsia="黑体" w:cs="宋体"/>
      <w:bCs/>
      <w:szCs w:val="20"/>
    </w:rPr>
  </w:style>
  <w:style w:type="paragraph" w:customStyle="1" w:styleId="43">
    <w:name w:val="55"/>
    <w:basedOn w:val="1"/>
    <w:qFormat/>
    <w:uiPriority w:val="0"/>
    <w:pPr>
      <w:adjustRightInd w:val="0"/>
      <w:spacing w:line="500" w:lineRule="exact"/>
      <w:ind w:firstLine="629"/>
    </w:pPr>
    <w:rPr>
      <w:rFonts w:ascii="仿宋_GB2312" w:eastAsia="仿宋_GB2312"/>
      <w:sz w:val="28"/>
      <w:szCs w:val="28"/>
    </w:rPr>
  </w:style>
  <w:style w:type="paragraph" w:customStyle="1" w:styleId="44">
    <w:name w:val="Table Paragraph"/>
    <w:basedOn w:val="1"/>
    <w:qFormat/>
    <w:uiPriority w:val="99"/>
    <w:rPr>
      <w:rFonts w:asciiTheme="minorHAnsi" w:hAnsiTheme="minorHAnsi" w:eastAsiaTheme="minorEastAsia" w:cstheme="minorBidi"/>
      <w:szCs w:val="24"/>
    </w:rPr>
  </w:style>
  <w:style w:type="paragraph" w:styleId="4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10368</Words>
  <Characters>10783</Characters>
  <Lines>99</Lines>
  <Paragraphs>27</Paragraphs>
  <TotalTime>2</TotalTime>
  <ScaleCrop>false</ScaleCrop>
  <LinksUpToDate>false</LinksUpToDate>
  <CharactersWithSpaces>11632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海南洋浦陆海国际贸易有限公司</cp:lastModifiedBy>
  <cp:lastPrinted>2024-05-29T09:32:00Z</cp:lastPrinted>
  <dcterms:modified xsi:type="dcterms:W3CDTF">2025-05-23T01:53:25Z</dcterms:modified>
  <dc:title>中建七局华北公司</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9FD8777846E249DABA8B0D825EEE598B_13</vt:lpwstr>
  </property>
  <property fmtid="{D5CDD505-2E9C-101B-9397-08002B2CF9AE}" pid="4" name="KSOTemplateDocerSaveRecord">
    <vt:lpwstr>eyJoZGlkIjoiNzc4NGVhNGQ0MzhiMjFiYjBhNmE5NTVkYWNkYmJmZmUiLCJ1c2VySWQiOiIxMjUxOTcwOTgwIn0=</vt:lpwstr>
  </property>
</Properties>
</file>