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73E0F">
      <w:pPr>
        <w:spacing w:line="380" w:lineRule="atLeast"/>
        <w:ind w:left="-199" w:leftChars="-95"/>
        <w:jc w:val="center"/>
        <w:rPr>
          <w:rFonts w:ascii="楷体_GB2312" w:hAnsi="楷体_GB2312" w:eastAsia="楷体_GB2312" w:cs="楷体_GB2312"/>
          <w:b/>
          <w:color w:val="auto"/>
          <w:sz w:val="52"/>
          <w:szCs w:val="52"/>
          <w:highlight w:val="none"/>
        </w:rPr>
      </w:pPr>
      <w:bookmarkStart w:id="0" w:name="_Toc343700748"/>
      <w:bookmarkStart w:id="1" w:name="_Toc343692950"/>
      <w:r>
        <w:rPr>
          <w:rFonts w:hint="eastAsia" w:ascii="楷体_GB2312" w:hAnsi="楷体_GB2312" w:eastAsia="楷体_GB2312" w:cs="楷体_GB2312"/>
          <w:b/>
          <w:color w:val="auto"/>
          <w:sz w:val="52"/>
          <w:szCs w:val="52"/>
          <w:highlight w:val="none"/>
        </w:rPr>
        <w:t>海南洋浦陆海能源发展有限公司</w:t>
      </w:r>
    </w:p>
    <w:p w14:paraId="6654ABF3">
      <w:pPr>
        <w:spacing w:line="380" w:lineRule="atLeast"/>
        <w:ind w:left="-199" w:leftChars="-95" w:firstLine="522" w:firstLineChars="100"/>
        <w:jc w:val="center"/>
        <w:rPr>
          <w:rFonts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物流服务</w:t>
      </w:r>
      <w:r>
        <w:rPr>
          <w:rFonts w:hint="eastAsia" w:ascii="楷体_GB2312" w:hAnsi="楷体_GB2312" w:eastAsia="楷体_GB2312" w:cs="楷体_GB2312"/>
          <w:b/>
          <w:color w:val="auto"/>
          <w:sz w:val="52"/>
          <w:szCs w:val="52"/>
          <w:highlight w:val="none"/>
          <w:lang w:eastAsia="zh-CN"/>
        </w:rPr>
        <w:t>（</w:t>
      </w:r>
      <w:r>
        <w:rPr>
          <w:rFonts w:hint="eastAsia" w:ascii="楷体_GB2312" w:hAnsi="楷体_GB2312" w:eastAsia="楷体_GB2312" w:cs="楷体_GB2312"/>
          <w:b/>
          <w:color w:val="auto"/>
          <w:sz w:val="52"/>
          <w:szCs w:val="52"/>
          <w:highlight w:val="none"/>
        </w:rPr>
        <w:t>散货船运输、化工危险品运输船</w:t>
      </w:r>
      <w:r>
        <w:rPr>
          <w:rFonts w:hint="eastAsia" w:ascii="楷体_GB2312" w:hAnsi="楷体_GB2312" w:eastAsia="楷体_GB2312" w:cs="楷体_GB2312"/>
          <w:b/>
          <w:color w:val="auto"/>
          <w:sz w:val="52"/>
          <w:szCs w:val="52"/>
          <w:highlight w:val="none"/>
          <w:lang w:val="en-US" w:eastAsia="zh-CN"/>
        </w:rPr>
        <w:t>运输服务）</w:t>
      </w:r>
      <w:r>
        <w:rPr>
          <w:rFonts w:hint="eastAsia" w:ascii="楷体_GB2312" w:hAnsi="楷体_GB2312" w:eastAsia="楷体_GB2312" w:cs="楷体_GB2312"/>
          <w:b/>
          <w:color w:val="auto"/>
          <w:sz w:val="52"/>
          <w:szCs w:val="52"/>
          <w:highlight w:val="none"/>
        </w:rPr>
        <w:t>框架协议</w:t>
      </w:r>
    </w:p>
    <w:p w14:paraId="595575B3">
      <w:pPr>
        <w:spacing w:line="380" w:lineRule="atLeast"/>
        <w:ind w:left="-199" w:leftChars="-95"/>
        <w:jc w:val="center"/>
        <w:rPr>
          <w:rFonts w:ascii="楷体_GB2312" w:hAnsi="楷体_GB2312" w:eastAsia="楷体_GB2312" w:cs="楷体_GB2312"/>
          <w:b/>
          <w:color w:val="auto"/>
          <w:sz w:val="52"/>
          <w:szCs w:val="52"/>
          <w:highlight w:val="none"/>
        </w:rPr>
      </w:pPr>
    </w:p>
    <w:p w14:paraId="6AB27EE9">
      <w:pPr>
        <w:spacing w:line="380" w:lineRule="atLeast"/>
        <w:ind w:left="-199" w:leftChars="-95"/>
        <w:jc w:val="center"/>
        <w:rPr>
          <w:rFonts w:ascii="楷体_GB2312" w:hAnsi="楷体_GB2312" w:eastAsia="楷体_GB2312" w:cs="楷体_GB2312"/>
          <w:b/>
          <w:color w:val="auto"/>
          <w:sz w:val="52"/>
          <w:szCs w:val="52"/>
          <w:highlight w:val="none"/>
        </w:rPr>
      </w:pPr>
    </w:p>
    <w:p w14:paraId="61A51A50">
      <w:pPr>
        <w:spacing w:line="380" w:lineRule="atLeast"/>
        <w:rPr>
          <w:rFonts w:ascii="楷体_GB2312" w:hAnsi="楷体_GB2312" w:eastAsia="楷体_GB2312" w:cs="楷体_GB2312"/>
          <w:b/>
          <w:color w:val="auto"/>
          <w:sz w:val="52"/>
          <w:szCs w:val="52"/>
          <w:highlight w:val="none"/>
        </w:rPr>
      </w:pPr>
    </w:p>
    <w:p w14:paraId="15EF4D7A">
      <w:pPr>
        <w:spacing w:line="380" w:lineRule="atLeast"/>
        <w:jc w:val="center"/>
        <w:rPr>
          <w:rFonts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公</w:t>
      </w:r>
    </w:p>
    <w:p w14:paraId="187BEFB4">
      <w:pPr>
        <w:spacing w:line="380" w:lineRule="atLeast"/>
        <w:jc w:val="center"/>
        <w:rPr>
          <w:rFonts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开</w:t>
      </w:r>
    </w:p>
    <w:p w14:paraId="358D0C32">
      <w:pPr>
        <w:spacing w:line="380" w:lineRule="atLeast"/>
        <w:jc w:val="center"/>
        <w:rPr>
          <w:rFonts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征</w:t>
      </w:r>
    </w:p>
    <w:p w14:paraId="68623C7A">
      <w:pPr>
        <w:spacing w:line="380" w:lineRule="atLeast"/>
        <w:jc w:val="center"/>
        <w:rPr>
          <w:rFonts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集</w:t>
      </w:r>
    </w:p>
    <w:p w14:paraId="1BB715CD">
      <w:pPr>
        <w:pStyle w:val="29"/>
        <w:spacing w:line="360" w:lineRule="auto"/>
        <w:ind w:firstLine="0" w:firstLineChars="0"/>
        <w:jc w:val="center"/>
        <w:rPr>
          <w:rFonts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文</w:t>
      </w:r>
    </w:p>
    <w:p w14:paraId="59CC0827">
      <w:pPr>
        <w:pStyle w:val="29"/>
        <w:spacing w:line="360" w:lineRule="auto"/>
        <w:ind w:firstLine="0" w:firstLineChars="0"/>
        <w:jc w:val="center"/>
        <w:rPr>
          <w:rFonts w:ascii="楷体" w:hAnsi="楷体" w:eastAsia="楷体" w:cs="楷体"/>
          <w:b/>
          <w:bCs/>
          <w:color w:val="auto"/>
          <w:kern w:val="44"/>
          <w:sz w:val="24"/>
          <w:szCs w:val="24"/>
          <w:highlight w:val="none"/>
        </w:rPr>
      </w:pPr>
      <w:r>
        <w:rPr>
          <w:rFonts w:hint="eastAsia" w:ascii="楷体_GB2312" w:hAnsi="楷体_GB2312" w:eastAsia="楷体_GB2312" w:cs="楷体_GB2312"/>
          <w:b/>
          <w:color w:val="auto"/>
          <w:sz w:val="52"/>
          <w:szCs w:val="52"/>
          <w:highlight w:val="none"/>
        </w:rPr>
        <w:t xml:space="preserve">件 </w:t>
      </w:r>
    </w:p>
    <w:p w14:paraId="0361A03B">
      <w:pPr>
        <w:pStyle w:val="29"/>
        <w:spacing w:line="360" w:lineRule="auto"/>
        <w:ind w:firstLine="0" w:firstLineChars="0"/>
        <w:jc w:val="center"/>
        <w:rPr>
          <w:rFonts w:ascii="楷体" w:hAnsi="楷体" w:eastAsia="楷体" w:cs="楷体"/>
          <w:b/>
          <w:bCs/>
          <w:color w:val="auto"/>
          <w:kern w:val="44"/>
          <w:sz w:val="24"/>
          <w:szCs w:val="24"/>
          <w:highlight w:val="none"/>
        </w:rPr>
      </w:pPr>
    </w:p>
    <w:p w14:paraId="534CA5AA">
      <w:pPr>
        <w:pStyle w:val="29"/>
        <w:spacing w:line="360" w:lineRule="auto"/>
        <w:ind w:firstLine="0" w:firstLineChars="0"/>
        <w:jc w:val="center"/>
        <w:rPr>
          <w:rFonts w:ascii="楷体" w:hAnsi="楷体" w:eastAsia="楷体" w:cs="楷体"/>
          <w:b/>
          <w:bCs/>
          <w:color w:val="auto"/>
          <w:kern w:val="44"/>
          <w:sz w:val="24"/>
          <w:szCs w:val="24"/>
          <w:highlight w:val="none"/>
        </w:rPr>
      </w:pPr>
    </w:p>
    <w:p w14:paraId="3E7C475F">
      <w:pPr>
        <w:pStyle w:val="29"/>
        <w:spacing w:line="360" w:lineRule="auto"/>
        <w:ind w:firstLine="0" w:firstLineChars="0"/>
        <w:jc w:val="center"/>
        <w:rPr>
          <w:rFonts w:ascii="楷体" w:hAnsi="楷体" w:eastAsia="楷体" w:cs="楷体"/>
          <w:b/>
          <w:bCs/>
          <w:color w:val="auto"/>
          <w:kern w:val="44"/>
          <w:sz w:val="24"/>
          <w:szCs w:val="24"/>
          <w:highlight w:val="none"/>
        </w:rPr>
      </w:pPr>
    </w:p>
    <w:p w14:paraId="40CACE78">
      <w:pPr>
        <w:pStyle w:val="29"/>
        <w:spacing w:line="360" w:lineRule="auto"/>
        <w:ind w:firstLine="0" w:firstLineChars="0"/>
        <w:jc w:val="center"/>
        <w:rPr>
          <w:rFonts w:ascii="楷体" w:hAnsi="楷体" w:eastAsia="楷体" w:cs="楷体"/>
          <w:b/>
          <w:bCs/>
          <w:color w:val="auto"/>
          <w:kern w:val="44"/>
          <w:sz w:val="28"/>
          <w:szCs w:val="28"/>
          <w:highlight w:val="none"/>
        </w:rPr>
      </w:pPr>
      <w:r>
        <w:rPr>
          <w:rFonts w:hint="eastAsia" w:ascii="楷体" w:hAnsi="楷体" w:eastAsia="楷体" w:cs="楷体"/>
          <w:b/>
          <w:bCs/>
          <w:color w:val="auto"/>
          <w:kern w:val="44"/>
          <w:sz w:val="28"/>
          <w:szCs w:val="28"/>
          <w:highlight w:val="none"/>
        </w:rPr>
        <w:t>采购单位：海南洋浦陆海能源发展有限公司</w:t>
      </w:r>
    </w:p>
    <w:p w14:paraId="3F5FABF5">
      <w:pPr>
        <w:pStyle w:val="29"/>
        <w:spacing w:line="360" w:lineRule="auto"/>
        <w:ind w:firstLine="0" w:firstLineChars="0"/>
        <w:jc w:val="center"/>
        <w:rPr>
          <w:rFonts w:ascii="楷体" w:hAnsi="楷体" w:eastAsia="楷体" w:cs="楷体"/>
          <w:b/>
          <w:bCs/>
          <w:color w:val="auto"/>
          <w:kern w:val="44"/>
          <w:sz w:val="28"/>
          <w:szCs w:val="28"/>
          <w:highlight w:val="none"/>
        </w:rPr>
      </w:pPr>
      <w:r>
        <w:rPr>
          <w:rFonts w:hint="eastAsia" w:ascii="楷体" w:hAnsi="楷体" w:eastAsia="楷体" w:cs="楷体"/>
          <w:b/>
          <w:bCs/>
          <w:color w:val="auto"/>
          <w:kern w:val="44"/>
          <w:sz w:val="28"/>
          <w:szCs w:val="28"/>
          <w:highlight w:val="none"/>
        </w:rPr>
        <w:t>日期：2025年</w:t>
      </w:r>
      <w:r>
        <w:rPr>
          <w:rFonts w:hint="eastAsia" w:ascii="楷体" w:hAnsi="楷体" w:eastAsia="楷体" w:cs="楷体"/>
          <w:b/>
          <w:bCs/>
          <w:color w:val="auto"/>
          <w:kern w:val="44"/>
          <w:sz w:val="28"/>
          <w:szCs w:val="28"/>
          <w:highlight w:val="none"/>
          <w:lang w:val="en-US" w:eastAsia="zh-CN"/>
        </w:rPr>
        <w:t>5</w:t>
      </w:r>
      <w:r>
        <w:rPr>
          <w:rFonts w:hint="eastAsia" w:ascii="楷体" w:hAnsi="楷体" w:eastAsia="楷体" w:cs="楷体"/>
          <w:b/>
          <w:bCs/>
          <w:color w:val="auto"/>
          <w:kern w:val="44"/>
          <w:sz w:val="28"/>
          <w:szCs w:val="28"/>
          <w:highlight w:val="none"/>
        </w:rPr>
        <w:t>月</w:t>
      </w:r>
      <w:r>
        <w:rPr>
          <w:rFonts w:hint="eastAsia" w:ascii="楷体" w:hAnsi="楷体" w:eastAsia="楷体" w:cs="楷体"/>
          <w:b/>
          <w:bCs/>
          <w:color w:val="auto"/>
          <w:kern w:val="44"/>
          <w:sz w:val="28"/>
          <w:szCs w:val="28"/>
          <w:highlight w:val="none"/>
          <w:lang w:val="en-US" w:eastAsia="zh-CN"/>
        </w:rPr>
        <w:t>27</w:t>
      </w:r>
      <w:r>
        <w:rPr>
          <w:rFonts w:hint="eastAsia" w:ascii="楷体" w:hAnsi="楷体" w:eastAsia="楷体" w:cs="楷体"/>
          <w:b/>
          <w:bCs/>
          <w:color w:val="auto"/>
          <w:kern w:val="44"/>
          <w:sz w:val="28"/>
          <w:szCs w:val="28"/>
          <w:highlight w:val="none"/>
        </w:rPr>
        <w:t>日</w:t>
      </w:r>
    </w:p>
    <w:p w14:paraId="5454B217">
      <w:pPr>
        <w:rPr>
          <w:rFonts w:ascii="楷体" w:hAnsi="楷体" w:eastAsia="楷体" w:cs="楷体"/>
          <w:color w:val="auto"/>
          <w:sz w:val="24"/>
          <w:szCs w:val="24"/>
          <w:highlight w:val="none"/>
        </w:rPr>
      </w:pPr>
    </w:p>
    <w:p w14:paraId="5040FF43">
      <w:pPr>
        <w:pStyle w:val="29"/>
        <w:numPr>
          <w:ilvl w:val="0"/>
          <w:numId w:val="1"/>
        </w:numPr>
        <w:spacing w:line="360" w:lineRule="exact"/>
        <w:ind w:firstLineChars="0"/>
        <w:jc w:val="center"/>
        <w:rPr>
          <w:rFonts w:ascii="楷体" w:hAnsi="楷体" w:eastAsia="楷体" w:cs="楷体"/>
          <w:color w:val="auto"/>
          <w:sz w:val="32"/>
          <w:szCs w:val="32"/>
          <w:highlight w:val="none"/>
        </w:rPr>
      </w:pPr>
      <w:r>
        <w:rPr>
          <w:rFonts w:hint="eastAsia" w:ascii="楷体" w:hAnsi="楷体" w:eastAsia="楷体" w:cs="楷体"/>
          <w:b/>
          <w:bCs/>
          <w:color w:val="auto"/>
          <w:sz w:val="32"/>
          <w:szCs w:val="32"/>
          <w:highlight w:val="none"/>
        </w:rPr>
        <w:t>公开征集函</w:t>
      </w:r>
    </w:p>
    <w:p w14:paraId="688D7E2F">
      <w:pPr>
        <w:adjustRightInd w:val="0"/>
        <w:snapToGrid w:val="0"/>
        <w:spacing w:line="360" w:lineRule="exact"/>
        <w:jc w:val="right"/>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 xml:space="preserve">                  </w:t>
      </w:r>
    </w:p>
    <w:tbl>
      <w:tblPr>
        <w:tblStyle w:val="20"/>
        <w:tblW w:w="86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512"/>
        <w:gridCol w:w="5228"/>
      </w:tblGrid>
      <w:tr w14:paraId="7A110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600" w:type="dxa"/>
            <w:gridSpan w:val="3"/>
            <w:tcBorders>
              <w:top w:val="single" w:color="auto" w:sz="8" w:space="0"/>
            </w:tcBorders>
            <w:vAlign w:val="center"/>
          </w:tcPr>
          <w:p w14:paraId="172ED0E8">
            <w:pPr>
              <w:spacing w:line="360" w:lineRule="atLeas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海南洋浦陆海能源发展有限公司</w:t>
            </w:r>
            <w:r>
              <w:rPr>
                <w:rFonts w:hint="eastAsia" w:ascii="楷体" w:hAnsi="楷体" w:eastAsia="楷体" w:cs="楷体"/>
                <w:color w:val="auto"/>
                <w:sz w:val="24"/>
                <w:szCs w:val="24"/>
                <w:highlight w:val="none"/>
                <w:u w:val="single"/>
              </w:rPr>
              <w:t>物流服务</w:t>
            </w:r>
            <w:r>
              <w:rPr>
                <w:rFonts w:hint="eastAsia" w:ascii="楷体" w:hAnsi="楷体" w:eastAsia="楷体" w:cs="楷体"/>
                <w:color w:val="auto"/>
                <w:sz w:val="24"/>
                <w:szCs w:val="24"/>
                <w:highlight w:val="none"/>
              </w:rPr>
              <w:t>, 为满足各项目物流需求，现进行框架招标，以确定合格的服务商，建立稳定的合作关系，为各项目有序生产提供保障。拟按照公开方式对</w:t>
            </w:r>
            <w:r>
              <w:rPr>
                <w:rFonts w:hint="eastAsia" w:ascii="楷体" w:hAnsi="楷体" w:eastAsia="楷体" w:cs="楷体"/>
                <w:color w:val="auto"/>
                <w:sz w:val="24"/>
                <w:szCs w:val="24"/>
                <w:highlight w:val="none"/>
                <w:u w:val="single"/>
              </w:rPr>
              <w:t>物流服务</w:t>
            </w:r>
            <w:r>
              <w:rPr>
                <w:rFonts w:hint="eastAsia" w:ascii="楷体" w:hAnsi="楷体" w:eastAsia="楷体" w:cs="楷体"/>
                <w:color w:val="auto"/>
                <w:sz w:val="24"/>
                <w:szCs w:val="24"/>
                <w:highlight w:val="none"/>
              </w:rPr>
              <w:t>进行年度框架招标，具体招标事项如下：</w:t>
            </w:r>
            <w:r>
              <w:rPr>
                <w:rFonts w:ascii="楷体" w:hAnsi="楷体" w:eastAsia="楷体" w:cs="楷体"/>
                <w:color w:val="auto"/>
                <w:sz w:val="24"/>
                <w:szCs w:val="24"/>
                <w:highlight w:val="none"/>
              </w:rPr>
              <w:t xml:space="preserve"> </w:t>
            </w:r>
          </w:p>
        </w:tc>
      </w:tr>
      <w:tr w14:paraId="10A969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vAlign w:val="center"/>
          </w:tcPr>
          <w:p w14:paraId="79B1372A">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512" w:type="dxa"/>
            <w:vAlign w:val="center"/>
          </w:tcPr>
          <w:p w14:paraId="1E9E38FA">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228" w:type="dxa"/>
            <w:vAlign w:val="center"/>
          </w:tcPr>
          <w:p w14:paraId="36FC85E5">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内容</w:t>
            </w:r>
          </w:p>
        </w:tc>
      </w:tr>
      <w:tr w14:paraId="23A4F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0" w:type="dxa"/>
            <w:vAlign w:val="center"/>
          </w:tcPr>
          <w:p w14:paraId="4E30D14C">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2512" w:type="dxa"/>
            <w:vAlign w:val="center"/>
          </w:tcPr>
          <w:p w14:paraId="41DA30D1">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公开招标单位</w:t>
            </w:r>
          </w:p>
        </w:tc>
        <w:tc>
          <w:tcPr>
            <w:tcW w:w="5228" w:type="dxa"/>
            <w:vAlign w:val="center"/>
          </w:tcPr>
          <w:p w14:paraId="6A8FA474">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海南洋浦陆海能源发展有限公司</w:t>
            </w:r>
          </w:p>
        </w:tc>
      </w:tr>
      <w:tr w14:paraId="31E3C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60" w:type="dxa"/>
            <w:vAlign w:val="center"/>
          </w:tcPr>
          <w:p w14:paraId="09B98916">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2512" w:type="dxa"/>
            <w:vAlign w:val="center"/>
          </w:tcPr>
          <w:p w14:paraId="2DCCBDF3">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公开征集主要内容</w:t>
            </w:r>
          </w:p>
        </w:tc>
        <w:tc>
          <w:tcPr>
            <w:tcW w:w="5228" w:type="dxa"/>
            <w:vAlign w:val="center"/>
          </w:tcPr>
          <w:p w14:paraId="229FEC85">
            <w:pPr>
              <w:spacing w:line="360" w:lineRule="atLeast"/>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1.本次招标的物流服务内容：散货船运输</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化工危险品运输船</w:t>
            </w:r>
            <w:r>
              <w:rPr>
                <w:rFonts w:hint="eastAsia" w:ascii="楷体" w:hAnsi="楷体" w:eastAsia="楷体" w:cs="楷体"/>
                <w:bCs/>
                <w:color w:val="auto"/>
                <w:sz w:val="24"/>
                <w:szCs w:val="24"/>
                <w:highlight w:val="none"/>
                <w:lang w:val="en-US" w:eastAsia="zh-CN"/>
              </w:rPr>
              <w:t>运输</w:t>
            </w:r>
            <w:r>
              <w:rPr>
                <w:rFonts w:hint="eastAsia" w:ascii="楷体" w:hAnsi="楷体" w:eastAsia="楷体" w:cs="楷体"/>
                <w:color w:val="auto"/>
                <w:sz w:val="24"/>
                <w:szCs w:val="24"/>
                <w:highlight w:val="none"/>
                <w:lang w:val="en-US" w:eastAsia="zh-CN"/>
              </w:rPr>
              <w:t>服务</w:t>
            </w:r>
            <w:r>
              <w:rPr>
                <w:rFonts w:hint="eastAsia" w:ascii="楷体" w:hAnsi="楷体" w:eastAsia="楷体" w:cs="楷体"/>
                <w:color w:val="auto"/>
                <w:sz w:val="24"/>
                <w:szCs w:val="24"/>
                <w:highlight w:val="none"/>
              </w:rPr>
              <w:t>。</w:t>
            </w:r>
          </w:p>
          <w:p w14:paraId="713BBB11">
            <w:pPr>
              <w:spacing w:line="360" w:lineRule="atLeast"/>
              <w:ind w:left="720" w:hanging="720" w:hangingChars="300"/>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2.服务标准及相关要求：</w:t>
            </w:r>
          </w:p>
          <w:p w14:paraId="5568A236">
            <w:pPr>
              <w:spacing w:line="360" w:lineRule="atLeast"/>
              <w:ind w:left="720" w:hanging="720" w:hangingChars="300"/>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散货船运输</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化工危险品运输船</w:t>
            </w:r>
          </w:p>
          <w:p w14:paraId="7D639229">
            <w:pPr>
              <w:spacing w:line="360" w:lineRule="atLeast"/>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.1企业资质：营业执照、水路运输许可证、国际海运资质（如涉及）。</w:t>
            </w:r>
          </w:p>
          <w:p w14:paraId="6FEB1E03">
            <w:pPr>
              <w:spacing w:line="360" w:lineRule="atLeast"/>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.2船舶要求：适航证书、吨位（如5000吨级以上）、船龄（一般不超过15年）、特殊设备（如保温舱、防泄漏装置）。</w:t>
            </w:r>
          </w:p>
          <w:p w14:paraId="29EB4151">
            <w:pPr>
              <w:spacing w:line="360" w:lineRule="atLeast"/>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.3安全记录：近3年无重大安全事故、环保违规记录。</w:t>
            </w:r>
          </w:p>
          <w:p w14:paraId="6C416A9A">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.4保险要求：船舶险、货运险、第三方责任险（保额需明确）。</w:t>
            </w:r>
          </w:p>
          <w:p w14:paraId="24A3904E">
            <w:pPr>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3.公开询价报价文件获取方式：在网页附件处下载电子版文件</w:t>
            </w:r>
          </w:p>
        </w:tc>
      </w:tr>
      <w:tr w14:paraId="165E5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860" w:type="dxa"/>
            <w:vAlign w:val="center"/>
          </w:tcPr>
          <w:p w14:paraId="0B081B1D">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2512" w:type="dxa"/>
            <w:vAlign w:val="center"/>
          </w:tcPr>
          <w:p w14:paraId="5104D46B">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起止时间</w:t>
            </w:r>
          </w:p>
        </w:tc>
        <w:tc>
          <w:tcPr>
            <w:tcW w:w="5228" w:type="dxa"/>
            <w:vAlign w:val="center"/>
          </w:tcPr>
          <w:p w14:paraId="4155DF25">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2025年</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27</w:t>
            </w:r>
            <w:r>
              <w:rPr>
                <w:rFonts w:hint="eastAsia" w:ascii="楷体" w:hAnsi="楷体" w:eastAsia="楷体" w:cs="楷体"/>
                <w:color w:val="auto"/>
                <w:sz w:val="24"/>
                <w:szCs w:val="24"/>
                <w:highlight w:val="none"/>
              </w:rPr>
              <w:t>日-长期</w:t>
            </w:r>
          </w:p>
        </w:tc>
      </w:tr>
      <w:tr w14:paraId="64ABC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860" w:type="dxa"/>
            <w:vAlign w:val="center"/>
          </w:tcPr>
          <w:p w14:paraId="3B9D48D1">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2512" w:type="dxa"/>
            <w:vAlign w:val="center"/>
          </w:tcPr>
          <w:p w14:paraId="1BFF48AE">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文件递交地点</w:t>
            </w:r>
          </w:p>
        </w:tc>
        <w:tc>
          <w:tcPr>
            <w:tcW w:w="5228" w:type="dxa"/>
            <w:vAlign w:val="center"/>
          </w:tcPr>
          <w:p w14:paraId="2B93EB04">
            <w:pPr>
              <w:spacing w:line="360" w:lineRule="atLeast"/>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纸质文件递交至洋浦大厦3楼311室或电子文件（PDF版）发送至指定电子邮箱luhaimygs@hnyplh.com。</w:t>
            </w:r>
          </w:p>
        </w:tc>
      </w:tr>
      <w:tr w14:paraId="68A65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860" w:type="dxa"/>
            <w:vAlign w:val="center"/>
          </w:tcPr>
          <w:p w14:paraId="2E08A06C">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2512" w:type="dxa"/>
            <w:vAlign w:val="center"/>
          </w:tcPr>
          <w:p w14:paraId="1BFF0B1B">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228" w:type="dxa"/>
            <w:vAlign w:val="center"/>
          </w:tcPr>
          <w:p w14:paraId="2259C34F">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肖工/0898-28810376</w:t>
            </w:r>
          </w:p>
        </w:tc>
      </w:tr>
      <w:tr w14:paraId="3F456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2" w:hRule="exact"/>
        </w:trPr>
        <w:tc>
          <w:tcPr>
            <w:tcW w:w="860" w:type="dxa"/>
            <w:vAlign w:val="center"/>
          </w:tcPr>
          <w:p w14:paraId="0FD9ED31">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6</w:t>
            </w:r>
          </w:p>
        </w:tc>
        <w:tc>
          <w:tcPr>
            <w:tcW w:w="2512" w:type="dxa"/>
            <w:vAlign w:val="center"/>
          </w:tcPr>
          <w:p w14:paraId="366D3729">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框架协议</w:t>
            </w:r>
          </w:p>
        </w:tc>
        <w:tc>
          <w:tcPr>
            <w:tcW w:w="5228" w:type="dxa"/>
            <w:vAlign w:val="center"/>
          </w:tcPr>
          <w:p w14:paraId="5AF68B28">
            <w:pPr>
              <w:spacing w:line="360" w:lineRule="atLeast"/>
              <w:jc w:val="left"/>
              <w:rPr>
                <w:rFonts w:ascii="楷体" w:hAnsi="楷体" w:eastAsia="楷体" w:cs="楷体"/>
                <w:color w:val="auto"/>
                <w:sz w:val="24"/>
                <w:szCs w:val="24"/>
                <w:highlight w:val="none"/>
              </w:rPr>
            </w:pPr>
            <w:r>
              <w:rPr>
                <w:rFonts w:hint="eastAsia" w:ascii="楷体" w:hAnsi="楷体" w:eastAsia="楷体" w:cs="楷体"/>
                <w:bCs/>
                <w:color w:val="auto"/>
                <w:sz w:val="24"/>
                <w:szCs w:val="24"/>
                <w:highlight w:val="none"/>
              </w:rPr>
              <w:t>公开征集结束后，与通过征集的单位签订框架协议，采购人每次按需求向签订框架协议单位发出询价资料，询价结束后向成交单位发放《成交通知书》，成交单位凭《成交通知书》完成运输服务。</w:t>
            </w:r>
          </w:p>
        </w:tc>
      </w:tr>
      <w:tr w14:paraId="2A8A2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0" w:type="dxa"/>
            <w:vAlign w:val="center"/>
          </w:tcPr>
          <w:p w14:paraId="650448DA">
            <w:pPr>
              <w:spacing w:line="360" w:lineRule="atLeast"/>
              <w:jc w:val="center"/>
              <w:rPr>
                <w:rFonts w:hint="eastAsia" w:ascii="楷体_GB2312" w:hAnsi="楷体_GB2312" w:eastAsia="楷体_GB2312" w:cs="楷体_GB2312"/>
                <w:color w:val="auto"/>
                <w:sz w:val="24"/>
                <w:szCs w:val="24"/>
                <w:highlight w:val="none"/>
                <w:lang w:eastAsia="zh-CN"/>
              </w:rPr>
            </w:pPr>
            <w:r>
              <w:rPr>
                <w:rFonts w:hint="eastAsia" w:ascii="楷体" w:hAnsi="楷体" w:eastAsia="楷体" w:cs="楷体"/>
                <w:color w:val="auto"/>
                <w:sz w:val="24"/>
                <w:szCs w:val="24"/>
                <w:highlight w:val="none"/>
                <w:lang w:val="en-US" w:eastAsia="zh-CN"/>
              </w:rPr>
              <w:t>7</w:t>
            </w:r>
          </w:p>
        </w:tc>
        <w:tc>
          <w:tcPr>
            <w:tcW w:w="2512" w:type="dxa"/>
            <w:vAlign w:val="center"/>
          </w:tcPr>
          <w:p w14:paraId="706BB220">
            <w:pPr>
              <w:spacing w:line="360" w:lineRule="atLeast"/>
              <w:jc w:val="center"/>
              <w:rPr>
                <w:rFonts w:ascii="楷体_GB2312" w:hAnsi="楷体_GB2312" w:eastAsia="楷体_GB2312" w:cs="楷体_GB2312"/>
                <w:color w:val="auto"/>
                <w:sz w:val="24"/>
                <w:szCs w:val="24"/>
                <w:highlight w:val="none"/>
              </w:rPr>
            </w:pPr>
            <w:r>
              <w:rPr>
                <w:rFonts w:hint="eastAsia" w:ascii="楷体" w:hAnsi="楷体" w:eastAsia="楷体" w:cs="楷体"/>
                <w:color w:val="auto"/>
                <w:sz w:val="24"/>
                <w:szCs w:val="24"/>
                <w:highlight w:val="none"/>
              </w:rPr>
              <w:t>廉政监督电话</w:t>
            </w:r>
          </w:p>
        </w:tc>
        <w:tc>
          <w:tcPr>
            <w:tcW w:w="5228" w:type="dxa"/>
            <w:vAlign w:val="center"/>
          </w:tcPr>
          <w:p w14:paraId="6E9D7B25">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0898-28810186</w:t>
            </w:r>
          </w:p>
        </w:tc>
      </w:tr>
      <w:tr w14:paraId="4A427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exact"/>
        </w:trPr>
        <w:tc>
          <w:tcPr>
            <w:tcW w:w="860" w:type="dxa"/>
            <w:vAlign w:val="center"/>
          </w:tcPr>
          <w:p w14:paraId="122CB262">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8</w:t>
            </w:r>
          </w:p>
        </w:tc>
        <w:tc>
          <w:tcPr>
            <w:tcW w:w="2512" w:type="dxa"/>
            <w:vAlign w:val="center"/>
          </w:tcPr>
          <w:p w14:paraId="57C41ACA">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运输路线</w:t>
            </w:r>
          </w:p>
        </w:tc>
        <w:tc>
          <w:tcPr>
            <w:tcW w:w="5228" w:type="dxa"/>
            <w:vAlign w:val="center"/>
          </w:tcPr>
          <w:p w14:paraId="76AC4791">
            <w:pPr>
              <w:spacing w:line="360" w:lineRule="atLeast"/>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具体路线根据采购人实际需求确定</w:t>
            </w:r>
          </w:p>
        </w:tc>
      </w:tr>
      <w:tr w14:paraId="76951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exact"/>
        </w:trPr>
        <w:tc>
          <w:tcPr>
            <w:tcW w:w="860" w:type="dxa"/>
            <w:vAlign w:val="center"/>
          </w:tcPr>
          <w:p w14:paraId="721FFCA0">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9</w:t>
            </w:r>
          </w:p>
        </w:tc>
        <w:tc>
          <w:tcPr>
            <w:tcW w:w="2512" w:type="dxa"/>
            <w:vAlign w:val="center"/>
          </w:tcPr>
          <w:p w14:paraId="502B7445">
            <w:pPr>
              <w:spacing w:line="360" w:lineRule="atLeas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服务期限</w:t>
            </w:r>
          </w:p>
        </w:tc>
        <w:tc>
          <w:tcPr>
            <w:tcW w:w="5228" w:type="dxa"/>
            <w:vAlign w:val="center"/>
          </w:tcPr>
          <w:p w14:paraId="2E185582">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1年</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1年后按</w:t>
            </w:r>
            <w:r>
              <w:rPr>
                <w:rFonts w:hint="eastAsia" w:ascii="楷体" w:hAnsi="楷体" w:eastAsia="楷体" w:cs="楷体"/>
                <w:bCs/>
                <w:color w:val="auto"/>
                <w:sz w:val="24"/>
                <w:szCs w:val="24"/>
                <w:highlight w:val="none"/>
              </w:rPr>
              <w:t>供应商参与</w:t>
            </w:r>
            <w:r>
              <w:rPr>
                <w:rFonts w:hint="eastAsia" w:ascii="楷体" w:hAnsi="楷体" w:eastAsia="楷体" w:cs="楷体"/>
                <w:bCs/>
                <w:color w:val="auto"/>
                <w:sz w:val="24"/>
                <w:szCs w:val="24"/>
                <w:highlight w:val="none"/>
                <w:lang w:val="en-US" w:eastAsia="zh-CN"/>
              </w:rPr>
              <w:t>征集</w:t>
            </w:r>
            <w:r>
              <w:rPr>
                <w:rFonts w:hint="eastAsia" w:ascii="楷体" w:hAnsi="楷体" w:eastAsia="楷体" w:cs="楷体"/>
                <w:bCs/>
                <w:color w:val="auto"/>
                <w:sz w:val="24"/>
                <w:szCs w:val="24"/>
                <w:highlight w:val="none"/>
              </w:rPr>
              <w:t>条件</w:t>
            </w:r>
            <w:r>
              <w:rPr>
                <w:rFonts w:hint="eastAsia" w:ascii="楷体" w:hAnsi="楷体" w:eastAsia="楷体" w:cs="楷体"/>
                <w:bCs/>
                <w:color w:val="auto"/>
                <w:sz w:val="24"/>
                <w:szCs w:val="24"/>
                <w:highlight w:val="none"/>
                <w:lang w:val="en-US" w:eastAsia="zh-CN"/>
              </w:rPr>
              <w:t>从新审查，满足条件者继续签订框架合同，后续每年按此执行）</w:t>
            </w:r>
          </w:p>
        </w:tc>
      </w:tr>
    </w:tbl>
    <w:p w14:paraId="50E9CE28">
      <w:pPr>
        <w:pStyle w:val="29"/>
        <w:spacing w:line="360" w:lineRule="auto"/>
        <w:ind w:firstLine="0" w:firstLineChars="0"/>
        <w:rPr>
          <w:rFonts w:ascii="楷体" w:hAnsi="楷体" w:eastAsia="楷体" w:cs="楷体"/>
          <w:b/>
          <w:bCs/>
          <w:color w:val="auto"/>
          <w:kern w:val="44"/>
          <w:sz w:val="24"/>
          <w:szCs w:val="24"/>
          <w:highlight w:val="none"/>
        </w:rPr>
      </w:pPr>
    </w:p>
    <w:p w14:paraId="3496A5D4">
      <w:pPr>
        <w:pStyle w:val="2"/>
        <w:numPr>
          <w:ilvl w:val="0"/>
          <w:numId w:val="1"/>
        </w:numPr>
        <w:spacing w:before="0" w:line="240" w:lineRule="auto"/>
        <w:jc w:val="center"/>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报价人须知</w:t>
      </w:r>
    </w:p>
    <w:p w14:paraId="126492EE">
      <w:pPr>
        <w:pStyle w:val="3"/>
        <w:spacing w:before="0" w:line="400" w:lineRule="exact"/>
        <w:rPr>
          <w:rFonts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color w:val="auto"/>
          <w:sz w:val="24"/>
          <w:szCs w:val="24"/>
          <w:highlight w:val="none"/>
        </w:rPr>
        <w:t>一、总则</w:t>
      </w:r>
      <w:bookmarkEnd w:id="2"/>
      <w:bookmarkEnd w:id="3"/>
    </w:p>
    <w:p w14:paraId="376570EE">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49AA2457">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坚持公开、公正、公平和诚实信用的原则。坚持质量优先，价格合理，科学评估，规范运作。</w:t>
      </w:r>
    </w:p>
    <w:p w14:paraId="1F40FB31">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 供应商参与</w:t>
      </w:r>
      <w:r>
        <w:rPr>
          <w:rFonts w:hint="eastAsia" w:ascii="楷体" w:hAnsi="楷体" w:eastAsia="楷体" w:cs="楷体"/>
          <w:bCs/>
          <w:color w:val="auto"/>
          <w:sz w:val="24"/>
          <w:szCs w:val="24"/>
          <w:highlight w:val="none"/>
          <w:lang w:val="en-US" w:eastAsia="zh-CN"/>
        </w:rPr>
        <w:t>征集</w:t>
      </w:r>
      <w:r>
        <w:rPr>
          <w:rFonts w:hint="eastAsia" w:ascii="楷体" w:hAnsi="楷体" w:eastAsia="楷体" w:cs="楷体"/>
          <w:bCs/>
          <w:color w:val="auto"/>
          <w:sz w:val="24"/>
          <w:szCs w:val="24"/>
          <w:highlight w:val="none"/>
        </w:rPr>
        <w:t>条件</w:t>
      </w:r>
    </w:p>
    <w:p w14:paraId="1AF15B9F">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1、具备法律主体资格。</w:t>
      </w:r>
    </w:p>
    <w:p w14:paraId="3854ADEA">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2、具备国家有关部门、行业要求必须取得的相关认证及其他经营许可且在有效期内；按有关部门完成检验要求，在有关部门和行业的监督检查中没有不良记录；与公司没有不良合作记录。</w:t>
      </w:r>
    </w:p>
    <w:p w14:paraId="23A0CAF8">
      <w:pPr>
        <w:spacing w:line="400" w:lineRule="exact"/>
        <w:rPr>
          <w:rFonts w:ascii="楷体" w:hAnsi="楷体" w:eastAsia="楷体" w:cs="楷体"/>
          <w:b/>
          <w:bCs/>
          <w:color w:val="auto"/>
          <w:sz w:val="24"/>
          <w:szCs w:val="24"/>
          <w:highlight w:val="none"/>
        </w:rPr>
      </w:pPr>
      <w:r>
        <w:rPr>
          <w:rFonts w:hint="eastAsia" w:ascii="楷体" w:hAnsi="楷体" w:eastAsia="楷体" w:cs="楷体"/>
          <w:bCs/>
          <w:color w:val="auto"/>
          <w:sz w:val="24"/>
          <w:szCs w:val="24"/>
          <w:highlight w:val="none"/>
        </w:rPr>
        <w:t>3、具有一定的经营规模和服务能力。</w:t>
      </w:r>
    </w:p>
    <w:p w14:paraId="6A974137">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4、具有良好的商业信誉。</w:t>
      </w:r>
    </w:p>
    <w:p w14:paraId="47ADD2DE">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5、参与人应不存在可能会影响运输任务的、未解决的诉讼、争议、仲裁等负面事件。</w:t>
      </w:r>
    </w:p>
    <w:p w14:paraId="727F5A19">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(三)征集范围和交易方式</w:t>
      </w:r>
    </w:p>
    <w:p w14:paraId="1AB06DEA">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1．征集范围详见公开征集主要内容。</w:t>
      </w:r>
    </w:p>
    <w:p w14:paraId="7D757528">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2、公开征集结束后，与通过征集的单位签订框架协议，采购人每次按需求向签订框架协议单位发出询价资料，询价结束后向成交单位发放《成交通知书》，成交单位凭《成交通知书》完成运输服务。</w:t>
      </w:r>
    </w:p>
    <w:p w14:paraId="1E1C86DB">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2．提供服务和结算方式：成交单位根据框架合同提供运输服务，货款按框架合同规定结算。</w:t>
      </w:r>
    </w:p>
    <w:p w14:paraId="476E34D5">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3．提供运输服务过程中，如发现成交单位实际不具备提供运输服务条件，或提供服务不符合合同及国家、地区、行业要求，我司可终止与该成交单位合作。</w:t>
      </w:r>
    </w:p>
    <w:p w14:paraId="69EDAED6">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采用公开征集单位的框架协议，提供运输服务以此框架协议为基础进行报价，凡参与报价的单位皆被视为认可文件中出现的所有条款，并被视为报价单位已把文件中出现的所有条款综合考虑在自己的报价中。成交单位在签订合框架协议时无权调整条款，否则被视为成交单位放弃资格，我司与备选单位签订合同。</w:t>
      </w:r>
    </w:p>
    <w:p w14:paraId="5E593151">
      <w:pPr>
        <w:pStyle w:val="3"/>
        <w:spacing w:before="0" w:line="400" w:lineRule="exact"/>
        <w:rPr>
          <w:rFonts w:ascii="楷体" w:hAnsi="楷体" w:eastAsia="楷体" w:cs="楷体"/>
          <w:color w:val="auto"/>
          <w:sz w:val="24"/>
          <w:szCs w:val="24"/>
          <w:highlight w:val="none"/>
        </w:rPr>
      </w:pPr>
      <w:bookmarkStart w:id="4" w:name="_Toc343700739"/>
      <w:bookmarkStart w:id="5" w:name="_Toc343692941"/>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rPr>
        <w:t>公开询价报价说明</w:t>
      </w:r>
    </w:p>
    <w:p w14:paraId="6407844C">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公开征集完成后，采购人每次按需求向签订框架协议单位发出询价资料。</w:t>
      </w:r>
    </w:p>
    <w:p w14:paraId="2488C8E7">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1、公开询价函 </w:t>
      </w:r>
    </w:p>
    <w:p w14:paraId="02571A56">
      <w:pPr>
        <w:spacing w:line="400" w:lineRule="exact"/>
        <w:rPr>
          <w:rFonts w:hint="eastAsia" w:ascii="楷体" w:hAnsi="楷体" w:eastAsia="楷体" w:cs="楷体"/>
          <w:bCs/>
          <w:color w:val="auto"/>
          <w:sz w:val="24"/>
          <w:szCs w:val="24"/>
          <w:highlight w:val="none"/>
        </w:rPr>
      </w:pPr>
      <w:bookmarkStart w:id="6" w:name="_Toc343700740"/>
      <w:bookmarkStart w:id="7" w:name="_Toc343692942"/>
      <w:r>
        <w:rPr>
          <w:rFonts w:hint="eastAsia" w:ascii="楷体" w:hAnsi="楷体" w:eastAsia="楷体" w:cs="楷体"/>
          <w:bCs/>
          <w:color w:val="auto"/>
          <w:sz w:val="24"/>
          <w:szCs w:val="24"/>
          <w:highlight w:val="none"/>
        </w:rPr>
        <w:t>2、承包方式：运费价包含船舶运输中所发生的全部费用，包括围油栏费用等。报价单位不得以任何理由要求中标后加价。</w:t>
      </w:r>
    </w:p>
    <w:p w14:paraId="2C701CD4">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报价单位具有营业执照、水路运输许可、适航证书等国家规定的资质证书，承运船舶的船舶规范详见船舶《主要项目登记表》。（采购人有权查验成交候选人相关证件，成交候选人需无条件配合采购人，如第一成交候选人无法提供合格有效的证件，则视为放弃成交资格，采购人可以顺延第二成交候选人为成交单位）。</w:t>
      </w:r>
    </w:p>
    <w:p w14:paraId="3DEE87FE">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4、服务要求：</w:t>
      </w:r>
      <w:r>
        <w:rPr>
          <w:rFonts w:hint="eastAsia" w:ascii="楷体" w:hAnsi="楷体" w:eastAsia="楷体" w:cs="楷体"/>
          <w:color w:val="auto"/>
          <w:sz w:val="24"/>
          <w:szCs w:val="24"/>
          <w:highlight w:val="none"/>
        </w:rPr>
        <w:t>采购单位提前1天通知报价单位，明确送货到达时间及收货地点。报价单位提供全天24小时物流运输服务。报价单位须在约定的期限内，将货物运到采购单位指定的地点，交给采购单位指定的收货人。</w:t>
      </w:r>
    </w:p>
    <w:p w14:paraId="2783372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5、对未成交的单位不做经济方面或其他方面的赔偿，也不做解释，谨对合作表示衷心的感谢。</w:t>
      </w:r>
      <w:bookmarkEnd w:id="6"/>
      <w:bookmarkEnd w:id="7"/>
    </w:p>
    <w:p w14:paraId="0E1677FB">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、其他详见合同约定。</w:t>
      </w:r>
      <w:bookmarkStart w:id="12" w:name="_GoBack"/>
      <w:bookmarkEnd w:id="12"/>
    </w:p>
    <w:p w14:paraId="33C876FC">
      <w:pPr>
        <w:spacing w:line="400" w:lineRule="exact"/>
        <w:rPr>
          <w:rFonts w:ascii="楷体" w:hAnsi="楷体" w:eastAsia="楷体" w:cs="楷体"/>
          <w:bCs/>
          <w:color w:val="auto"/>
          <w:sz w:val="24"/>
          <w:szCs w:val="24"/>
          <w:highlight w:val="none"/>
        </w:rPr>
      </w:pPr>
      <w:r>
        <w:rPr>
          <w:rFonts w:hint="eastAsia" w:ascii="楷体" w:hAnsi="楷体" w:eastAsia="楷体" w:cs="楷体"/>
          <w:b/>
          <w:color w:val="auto"/>
          <w:sz w:val="24"/>
          <w:szCs w:val="24"/>
          <w:highlight w:val="none"/>
        </w:rPr>
        <w:t>三、其他文件</w:t>
      </w:r>
    </w:p>
    <w:p w14:paraId="2C897B2A">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）填写要求:按照格式要求签字、盖章，企业的名称应准确无误。</w:t>
      </w:r>
    </w:p>
    <w:p w14:paraId="3146B707">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）材料递交时间和地点按海南洋浦陆海能源发展有限公司要求执行，因不可抗力原因，可酌情延长材料递交截止时间。</w:t>
      </w:r>
    </w:p>
    <w:p w14:paraId="00E846F0">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）材料其它要求</w:t>
      </w:r>
    </w:p>
    <w:p w14:paraId="69F60BEC">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1F34596B">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2、投标时无需提供授权书，中标后需提供厂家授权书。</w:t>
      </w:r>
    </w:p>
    <w:p w14:paraId="36572667">
      <w:pPr>
        <w:spacing w:line="400" w:lineRule="exact"/>
        <w:rPr>
          <w:color w:val="auto"/>
          <w:highlight w:val="none"/>
        </w:rPr>
      </w:pPr>
      <w:r>
        <w:rPr>
          <w:rFonts w:hint="eastAsia" w:ascii="楷体" w:hAnsi="楷体" w:eastAsia="楷体" w:cs="楷体"/>
          <w:bCs/>
          <w:color w:val="auto"/>
          <w:sz w:val="24"/>
          <w:szCs w:val="24"/>
          <w:highlight w:val="none"/>
        </w:rPr>
        <w:t>3、提供虚假资质证明文件的，一经发现立即取消其资格，并交由相关部门依法处理。</w:t>
      </w:r>
      <w:bookmarkStart w:id="8" w:name="_Toc343692943"/>
      <w:bookmarkStart w:id="9" w:name="_Toc343700741"/>
    </w:p>
    <w:bookmarkEnd w:id="8"/>
    <w:bookmarkEnd w:id="9"/>
    <w:p w14:paraId="44E23FC8">
      <w:pPr>
        <w:pStyle w:val="29"/>
        <w:spacing w:line="360" w:lineRule="auto"/>
        <w:ind w:firstLine="0" w:firstLineChars="0"/>
        <w:rPr>
          <w:rFonts w:ascii="楷体" w:hAnsi="楷体" w:eastAsia="楷体" w:cs="楷体"/>
          <w:color w:val="auto"/>
          <w:sz w:val="24"/>
          <w:szCs w:val="24"/>
          <w:highlight w:val="none"/>
        </w:rPr>
        <w:sectPr>
          <w:pgSz w:w="11906" w:h="16838"/>
          <w:pgMar w:top="1440" w:right="1800" w:bottom="1247" w:left="1800" w:header="851" w:footer="992" w:gutter="0"/>
          <w:cols w:space="0" w:num="1"/>
          <w:docGrid w:type="lines" w:linePitch="312" w:charSpace="0"/>
        </w:sectPr>
      </w:pPr>
    </w:p>
    <w:p w14:paraId="03578142">
      <w:pPr>
        <w:pStyle w:val="2"/>
        <w:numPr>
          <w:ilvl w:val="0"/>
          <w:numId w:val="1"/>
        </w:numPr>
        <w:spacing w:before="0" w:line="240" w:lineRule="auto"/>
        <w:jc w:val="center"/>
        <w:rPr>
          <w:rFonts w:hint="eastAsia" w:ascii="仿宋" w:hAnsi="仿宋" w:eastAsia="仿宋" w:cs="仿宋"/>
          <w:b/>
          <w:bCs/>
          <w:color w:val="auto"/>
          <w:sz w:val="44"/>
          <w:szCs w:val="44"/>
          <w:highlight w:val="none"/>
        </w:rPr>
      </w:pPr>
      <w:r>
        <w:rPr>
          <w:rFonts w:hint="eastAsia" w:ascii="楷体" w:hAnsi="楷体" w:eastAsia="楷体" w:cs="楷体"/>
          <w:color w:val="auto"/>
          <w:sz w:val="32"/>
          <w:szCs w:val="32"/>
          <w:highlight w:val="none"/>
        </w:rPr>
        <w:t xml:space="preserve"> 合同（格式）</w:t>
      </w:r>
    </w:p>
    <w:p w14:paraId="793BF7EF">
      <w:pPr>
        <w:snapToGrid w:val="0"/>
        <w:spacing w:line="420" w:lineRule="exact"/>
        <w:ind w:firstLine="6702" w:firstLineChars="3179"/>
        <w:rPr>
          <w:rStyle w:val="43"/>
          <w:rFonts w:hint="eastAsia" w:ascii="仿宋" w:hAnsi="仿宋" w:eastAsia="仿宋" w:cs="仿宋"/>
          <w:b/>
          <w:bCs/>
          <w:color w:val="auto"/>
          <w:szCs w:val="21"/>
          <w:highlight w:val="none"/>
        </w:rPr>
      </w:pPr>
    </w:p>
    <w:p w14:paraId="5AE6ABF4">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海南洋浦陆海能源发展有限公司</w:t>
      </w:r>
    </w:p>
    <w:p w14:paraId="1CE9FB41">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船舶运输服务框架协议</w:t>
      </w:r>
    </w:p>
    <w:p w14:paraId="083039DB">
      <w:pPr>
        <w:snapToGrid w:val="0"/>
        <w:spacing w:line="420" w:lineRule="exact"/>
        <w:ind w:firstLine="6702" w:firstLineChars="3179"/>
        <w:rPr>
          <w:rStyle w:val="43"/>
          <w:rFonts w:ascii="仿宋" w:hAnsi="仿宋" w:eastAsia="仿宋" w:cs="仿宋"/>
          <w:b/>
          <w:bCs/>
          <w:color w:val="auto"/>
          <w:szCs w:val="21"/>
          <w:highlight w:val="none"/>
        </w:rPr>
      </w:pPr>
    </w:p>
    <w:p w14:paraId="3253A62A">
      <w:pPr>
        <w:tabs>
          <w:tab w:val="left" w:pos="6525"/>
        </w:tabs>
        <w:rPr>
          <w:rStyle w:val="43"/>
          <w:rFonts w:ascii="仿宋" w:hAnsi="仿宋" w:eastAsia="仿宋" w:cs="仿宋"/>
          <w:b/>
          <w:bCs/>
          <w:color w:val="auto"/>
          <w:sz w:val="24"/>
          <w:highlight w:val="none"/>
        </w:rPr>
      </w:pPr>
      <w:r>
        <w:rPr>
          <w:rStyle w:val="43"/>
          <w:rFonts w:hint="eastAsia" w:ascii="仿宋" w:hAnsi="仿宋" w:eastAsia="仿宋" w:cs="仿宋"/>
          <w:b/>
          <w:bCs/>
          <w:color w:val="auto"/>
          <w:sz w:val="24"/>
          <w:highlight w:val="none"/>
        </w:rPr>
        <w:t xml:space="preserve">                                         </w:t>
      </w:r>
      <w:r>
        <w:rPr>
          <w:rStyle w:val="43"/>
          <w:rFonts w:hint="eastAsia" w:ascii="仿宋" w:hAnsi="仿宋" w:eastAsia="仿宋" w:cs="仿宋"/>
          <w:bCs/>
          <w:color w:val="auto"/>
          <w:sz w:val="24"/>
          <w:highlight w:val="none"/>
        </w:rPr>
        <w:t xml:space="preserve">合同号：浦陆海物流合字xx号 </w:t>
      </w:r>
    </w:p>
    <w:p w14:paraId="708AA173">
      <w:pPr>
        <w:tabs>
          <w:tab w:val="left" w:pos="720"/>
        </w:tabs>
        <w:spacing w:line="300" w:lineRule="exact"/>
        <w:ind w:right="18"/>
        <w:jc w:val="left"/>
        <w:rPr>
          <w:rStyle w:val="43"/>
          <w:rFonts w:ascii="仿宋" w:hAnsi="仿宋" w:eastAsia="仿宋" w:cs="仿宋"/>
          <w:b/>
          <w:color w:val="auto"/>
          <w:spacing w:val="-6"/>
          <w:sz w:val="24"/>
          <w:szCs w:val="28"/>
          <w:highlight w:val="none"/>
        </w:rPr>
      </w:pPr>
    </w:p>
    <w:p w14:paraId="6C3E3C47">
      <w:pPr>
        <w:tabs>
          <w:tab w:val="left" w:pos="720"/>
        </w:tabs>
        <w:spacing w:line="300" w:lineRule="exact"/>
        <w:ind w:right="18"/>
        <w:jc w:val="left"/>
        <w:rPr>
          <w:rStyle w:val="43"/>
          <w:rFonts w:ascii="仿宋" w:hAnsi="仿宋" w:eastAsia="仿宋" w:cs="仿宋"/>
          <w:color w:val="auto"/>
          <w:spacing w:val="-6"/>
          <w:sz w:val="24"/>
          <w:szCs w:val="28"/>
          <w:highlight w:val="none"/>
        </w:rPr>
      </w:pPr>
      <w:r>
        <w:rPr>
          <w:rStyle w:val="43"/>
          <w:rFonts w:hint="eastAsia" w:ascii="仿宋" w:hAnsi="仿宋" w:eastAsia="仿宋" w:cs="仿宋"/>
          <w:b/>
          <w:color w:val="auto"/>
          <w:spacing w:val="-6"/>
          <w:sz w:val="24"/>
          <w:szCs w:val="28"/>
          <w:highlight w:val="none"/>
        </w:rPr>
        <w:t>甲方：海南洋浦陆海能源发展有限公司</w:t>
      </w:r>
      <w:r>
        <w:rPr>
          <w:rStyle w:val="43"/>
          <w:rFonts w:hint="eastAsia" w:ascii="仿宋" w:hAnsi="仿宋" w:eastAsia="仿宋" w:cs="仿宋"/>
          <w:color w:val="auto"/>
          <w:spacing w:val="-6"/>
          <w:sz w:val="24"/>
          <w:szCs w:val="28"/>
          <w:highlight w:val="none"/>
        </w:rPr>
        <w:t xml:space="preserve">                                 　　</w:t>
      </w:r>
    </w:p>
    <w:p w14:paraId="1E53D5ED">
      <w:pPr>
        <w:snapToGrid w:val="0"/>
        <w:spacing w:line="300" w:lineRule="exact"/>
        <w:rPr>
          <w:rStyle w:val="43"/>
          <w:rFonts w:ascii="仿宋" w:hAnsi="仿宋" w:eastAsia="仿宋" w:cs="仿宋"/>
          <w:color w:val="auto"/>
          <w:spacing w:val="-6"/>
          <w:sz w:val="24"/>
          <w:szCs w:val="28"/>
          <w:highlight w:val="none"/>
        </w:rPr>
      </w:pPr>
      <w:r>
        <w:rPr>
          <w:rStyle w:val="43"/>
          <w:rFonts w:hint="eastAsia" w:ascii="仿宋" w:hAnsi="仿宋" w:eastAsia="仿宋" w:cs="仿宋"/>
          <w:color w:val="auto"/>
          <w:spacing w:val="-6"/>
          <w:sz w:val="24"/>
          <w:szCs w:val="28"/>
          <w:highlight w:val="none"/>
        </w:rPr>
        <w:t>地址：海南省洋浦经济开发区新英湾区洋浦保税港区远洋路3号</w:t>
      </w:r>
    </w:p>
    <w:p w14:paraId="074A57B6">
      <w:pPr>
        <w:snapToGrid w:val="0"/>
        <w:spacing w:line="300" w:lineRule="exact"/>
        <w:ind w:firstLine="684" w:firstLineChars="300"/>
        <w:rPr>
          <w:rStyle w:val="43"/>
          <w:rFonts w:ascii="仿宋" w:hAnsi="仿宋" w:eastAsia="仿宋" w:cs="仿宋"/>
          <w:color w:val="auto"/>
          <w:spacing w:val="-6"/>
          <w:sz w:val="24"/>
          <w:szCs w:val="28"/>
          <w:highlight w:val="none"/>
        </w:rPr>
      </w:pPr>
      <w:r>
        <w:rPr>
          <w:rStyle w:val="43"/>
          <w:rFonts w:hint="eastAsia" w:ascii="仿宋" w:hAnsi="仿宋" w:eastAsia="仿宋" w:cs="仿宋"/>
          <w:color w:val="auto"/>
          <w:spacing w:val="-6"/>
          <w:sz w:val="24"/>
          <w:szCs w:val="28"/>
          <w:highlight w:val="none"/>
        </w:rPr>
        <w:t>办公楼2单元3A02房</w:t>
      </w:r>
    </w:p>
    <w:p w14:paraId="785D1BA5">
      <w:pPr>
        <w:snapToGrid w:val="0"/>
        <w:spacing w:line="30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统一社会信用代码：91460000MABU89U388</w:t>
      </w:r>
    </w:p>
    <w:p w14:paraId="390D344E">
      <w:pPr>
        <w:adjustRightInd w:val="0"/>
        <w:snapToGrid w:val="0"/>
        <w:spacing w:line="340" w:lineRule="exact"/>
        <w:jc w:val="left"/>
        <w:rPr>
          <w:rFonts w:ascii="仿宋" w:hAnsi="仿宋" w:eastAsia="仿宋" w:cs="仿宋"/>
          <w:color w:val="auto"/>
          <w:sz w:val="24"/>
          <w:szCs w:val="28"/>
          <w:highlight w:val="none"/>
        </w:rPr>
      </w:pPr>
      <w:r>
        <w:rPr>
          <w:rFonts w:hint="eastAsia" w:ascii="仿宋" w:hAnsi="仿宋" w:eastAsia="仿宋" w:cs="仿宋"/>
          <w:b/>
          <w:color w:val="auto"/>
          <w:sz w:val="24"/>
          <w:szCs w:val="28"/>
          <w:highlight w:val="none"/>
        </w:rPr>
        <w:t xml:space="preserve">乙方： </w:t>
      </w:r>
      <w:r>
        <w:rPr>
          <w:rFonts w:hint="eastAsia" w:ascii="仿宋" w:hAnsi="仿宋" w:eastAsia="仿宋" w:cs="仿宋"/>
          <w:color w:val="auto"/>
          <w:sz w:val="24"/>
          <w:szCs w:val="28"/>
          <w:highlight w:val="none"/>
        </w:rPr>
        <w:t xml:space="preserve">                        </w:t>
      </w:r>
    </w:p>
    <w:p w14:paraId="4F7D10CE">
      <w:pPr>
        <w:adjustRightInd w:val="0"/>
        <w:snapToGrid w:val="0"/>
        <w:spacing w:line="340" w:lineRule="exact"/>
        <w:ind w:left="720" w:hanging="720" w:hangingChars="300"/>
        <w:jc w:val="left"/>
        <w:rPr>
          <w:rFonts w:ascii="仿宋" w:hAnsi="仿宋" w:eastAsia="仿宋" w:cs="仿宋"/>
          <w:bCs/>
          <w:color w:val="auto"/>
          <w:sz w:val="24"/>
          <w:szCs w:val="28"/>
          <w:highlight w:val="none"/>
        </w:rPr>
      </w:pPr>
      <w:r>
        <w:rPr>
          <w:rFonts w:hint="eastAsia" w:ascii="仿宋" w:hAnsi="仿宋" w:eastAsia="仿宋" w:cs="仿宋"/>
          <w:color w:val="auto"/>
          <w:sz w:val="24"/>
          <w:szCs w:val="28"/>
          <w:highlight w:val="none"/>
        </w:rPr>
        <w:t>地址：</w:t>
      </w:r>
    </w:p>
    <w:p w14:paraId="75232C94">
      <w:pPr>
        <w:adjustRightInd w:val="0"/>
        <w:snapToGrid w:val="0"/>
        <w:spacing w:line="340" w:lineRule="exact"/>
        <w:rPr>
          <w:rStyle w:val="43"/>
          <w:rFonts w:ascii="仿宋" w:hAnsi="仿宋" w:eastAsia="仿宋" w:cs="仿宋"/>
          <w:color w:val="auto"/>
          <w:spacing w:val="-6"/>
          <w:sz w:val="24"/>
          <w:szCs w:val="28"/>
          <w:highlight w:val="none"/>
        </w:rPr>
      </w:pPr>
      <w:r>
        <w:rPr>
          <w:rFonts w:hint="eastAsia" w:ascii="仿宋" w:hAnsi="仿宋" w:eastAsia="仿宋" w:cs="仿宋"/>
          <w:bCs/>
          <w:color w:val="auto"/>
          <w:sz w:val="24"/>
          <w:szCs w:val="28"/>
          <w:highlight w:val="none"/>
        </w:rPr>
        <w:t>统一社会信用代码：</w:t>
      </w:r>
      <w:r>
        <w:rPr>
          <w:rStyle w:val="43"/>
          <w:rFonts w:hint="eastAsia" w:ascii="仿宋" w:hAnsi="仿宋" w:eastAsia="仿宋" w:cs="仿宋"/>
          <w:color w:val="auto"/>
          <w:spacing w:val="-6"/>
          <w:sz w:val="24"/>
          <w:szCs w:val="28"/>
          <w:highlight w:val="none"/>
        </w:rPr>
        <w:t xml:space="preserve"> </w:t>
      </w:r>
    </w:p>
    <w:p w14:paraId="1E1B1C09">
      <w:pPr>
        <w:snapToGrid w:val="0"/>
        <w:spacing w:line="360" w:lineRule="exact"/>
        <w:ind w:firstLine="480" w:firstLineChars="200"/>
        <w:rPr>
          <w:rStyle w:val="43"/>
          <w:rFonts w:ascii="仿宋" w:hAnsi="仿宋" w:eastAsia="仿宋" w:cs="仿宋"/>
          <w:color w:val="auto"/>
          <w:spacing w:val="-6"/>
          <w:sz w:val="24"/>
          <w:szCs w:val="28"/>
          <w:highlight w:val="none"/>
        </w:rPr>
      </w:pPr>
      <w:r>
        <w:rPr>
          <w:rStyle w:val="43"/>
          <w:rFonts w:hint="eastAsia" w:ascii="仿宋" w:hAnsi="仿宋" w:eastAsia="仿宋" w:cs="仿宋"/>
          <w:color w:val="auto"/>
          <w:sz w:val="24"/>
          <w:szCs w:val="28"/>
          <w:highlight w:val="none"/>
        </w:rPr>
        <w:t>根据《中华人民共和国民法典》</w:t>
      </w:r>
      <w:r>
        <w:rPr>
          <w:rStyle w:val="43"/>
          <w:rFonts w:hint="eastAsia" w:ascii="仿宋" w:hAnsi="仿宋" w:eastAsia="仿宋" w:cs="仿宋"/>
          <w:color w:val="auto"/>
          <w:sz w:val="24"/>
          <w:szCs w:val="28"/>
          <w:highlight w:val="none"/>
          <w:lang w:val="zh-CN"/>
        </w:rPr>
        <w:t>等</w:t>
      </w:r>
      <w:r>
        <w:rPr>
          <w:rStyle w:val="43"/>
          <w:rFonts w:hint="eastAsia" w:ascii="仿宋" w:hAnsi="仿宋" w:eastAsia="仿宋" w:cs="仿宋"/>
          <w:color w:val="auto"/>
          <w:sz w:val="24"/>
          <w:szCs w:val="28"/>
          <w:highlight w:val="none"/>
        </w:rPr>
        <w:t>相关法律法规的规定，本着自愿、平等、诚实信用的原则，甲乙双方就以下货物水路运输事宜，协商一致，签订本框架协议。</w:t>
      </w:r>
    </w:p>
    <w:p w14:paraId="320C93F4">
      <w:pPr>
        <w:numPr>
          <w:ilvl w:val="0"/>
          <w:numId w:val="2"/>
        </w:numPr>
        <w:snapToGrid w:val="0"/>
        <w:spacing w:line="300" w:lineRule="exact"/>
        <w:rPr>
          <w:rStyle w:val="43"/>
          <w:rFonts w:ascii="仿宋" w:hAnsi="仿宋" w:eastAsia="仿宋" w:cs="仿宋"/>
          <w:b/>
          <w:bCs/>
          <w:color w:val="auto"/>
          <w:spacing w:val="-6"/>
          <w:sz w:val="24"/>
          <w:szCs w:val="28"/>
          <w:highlight w:val="none"/>
        </w:rPr>
      </w:pPr>
      <w:r>
        <w:rPr>
          <w:rStyle w:val="43"/>
          <w:rFonts w:hint="eastAsia" w:ascii="仿宋" w:hAnsi="仿宋" w:eastAsia="仿宋" w:cs="仿宋"/>
          <w:b/>
          <w:bCs/>
          <w:color w:val="auto"/>
          <w:spacing w:val="-6"/>
          <w:sz w:val="24"/>
          <w:szCs w:val="28"/>
          <w:highlight w:val="none"/>
        </w:rPr>
        <w:t>承运船舶：</w:t>
      </w:r>
    </w:p>
    <w:p w14:paraId="6D25D775">
      <w:pPr>
        <w:numPr>
          <w:ilvl w:val="0"/>
          <w:numId w:val="3"/>
        </w:numPr>
        <w:snapToGrid w:val="0"/>
        <w:spacing w:line="360" w:lineRule="exact"/>
        <w:jc w:val="left"/>
        <w:rPr>
          <w:rStyle w:val="43"/>
          <w:rFonts w:ascii="仿宋" w:hAnsi="仿宋" w:eastAsia="仿宋" w:cs="仿宋"/>
          <w:color w:val="auto"/>
          <w:sz w:val="24"/>
          <w:szCs w:val="28"/>
          <w:highlight w:val="none"/>
        </w:rPr>
      </w:pPr>
      <w:r>
        <w:rPr>
          <w:rStyle w:val="43"/>
          <w:rFonts w:hint="eastAsia" w:ascii="仿宋" w:hAnsi="仿宋" w:eastAsia="仿宋" w:cs="仿宋"/>
          <w:color w:val="auto"/>
          <w:spacing w:val="-6"/>
          <w:sz w:val="24"/>
          <w:szCs w:val="28"/>
          <w:highlight w:val="none"/>
        </w:rPr>
        <w:t>船舶/航次：</w:t>
      </w:r>
      <w:r>
        <w:rPr>
          <w:rFonts w:hint="eastAsia" w:ascii="仿宋" w:hAnsi="仿宋" w:eastAsia="仿宋" w:cs="仿宋"/>
          <w:color w:val="auto"/>
          <w:sz w:val="24"/>
          <w:szCs w:val="24"/>
          <w:highlight w:val="none"/>
        </w:rPr>
        <w:t>以单次询报价船舶/航次为准</w:t>
      </w:r>
      <w:r>
        <w:rPr>
          <w:rStyle w:val="43"/>
          <w:rFonts w:hint="eastAsia" w:ascii="仿宋" w:hAnsi="仿宋" w:eastAsia="仿宋" w:cs="仿宋"/>
          <w:color w:val="auto"/>
          <w:sz w:val="24"/>
          <w:highlight w:val="none"/>
        </w:rPr>
        <w:t xml:space="preserve"> ，</w:t>
      </w:r>
      <w:r>
        <w:rPr>
          <w:rStyle w:val="43"/>
          <w:rFonts w:hint="eastAsia" w:ascii="仿宋" w:hAnsi="仿宋" w:eastAsia="仿宋" w:cs="仿宋"/>
          <w:color w:val="auto"/>
          <w:spacing w:val="-6"/>
          <w:sz w:val="24"/>
          <w:szCs w:val="28"/>
          <w:highlight w:val="none"/>
        </w:rPr>
        <w:t>预估航次号：xxx</w:t>
      </w:r>
      <w:r>
        <w:rPr>
          <w:rStyle w:val="43"/>
          <w:rFonts w:hint="eastAsia" w:ascii="仿宋" w:hAnsi="仿宋" w:eastAsia="仿宋" w:cs="仿宋"/>
          <w:color w:val="auto"/>
          <w:kern w:val="0"/>
          <w:sz w:val="24"/>
          <w:highlight w:val="none"/>
        </w:rPr>
        <w:t>（最终航次号以实际运输时相关单证记录的航次号为准），</w:t>
      </w:r>
      <w:r>
        <w:rPr>
          <w:rStyle w:val="43"/>
          <w:rFonts w:hint="eastAsia" w:ascii="仿宋" w:hAnsi="仿宋" w:eastAsia="仿宋" w:cs="仿宋"/>
          <w:color w:val="auto"/>
          <w:sz w:val="24"/>
          <w:szCs w:val="28"/>
          <w:highlight w:val="none"/>
        </w:rPr>
        <w:t>“</w:t>
      </w:r>
      <w:r>
        <w:rPr>
          <w:rStyle w:val="43"/>
          <w:rFonts w:hint="eastAsia" w:ascii="仿宋" w:hAnsi="仿宋" w:eastAsia="仿宋" w:cs="仿宋"/>
          <w:color w:val="auto"/>
          <w:spacing w:val="-6"/>
          <w:sz w:val="24"/>
          <w:szCs w:val="28"/>
          <w:highlight w:val="none"/>
        </w:rPr>
        <w:t>xxx</w:t>
      </w:r>
      <w:r>
        <w:rPr>
          <w:rStyle w:val="43"/>
          <w:rFonts w:hint="eastAsia" w:ascii="仿宋" w:hAnsi="仿宋" w:eastAsia="仿宋" w:cs="仿宋"/>
          <w:color w:val="auto"/>
          <w:sz w:val="24"/>
          <w:szCs w:val="28"/>
          <w:highlight w:val="none"/>
        </w:rPr>
        <w:t>”轮在现场装卸货业务操作中因需要使用</w:t>
      </w:r>
      <w:r>
        <w:rPr>
          <w:rFonts w:hint="eastAsia" w:ascii="仿宋" w:hAnsi="仿宋" w:eastAsia="仿宋" w:cs="仿宋"/>
          <w:color w:val="auto"/>
          <w:sz w:val="24"/>
          <w:highlight w:val="none"/>
        </w:rPr>
        <w:t>“</w:t>
      </w:r>
      <w:r>
        <w:rPr>
          <w:rStyle w:val="43"/>
          <w:rFonts w:hint="eastAsia" w:ascii="仿宋" w:hAnsi="仿宋" w:eastAsia="仿宋" w:cs="仿宋"/>
          <w:color w:val="auto"/>
          <w:spacing w:val="-6"/>
          <w:sz w:val="24"/>
          <w:szCs w:val="28"/>
          <w:highlight w:val="none"/>
        </w:rPr>
        <w:t>xxx</w:t>
      </w:r>
      <w:r>
        <w:rPr>
          <w:rFonts w:hint="eastAsia" w:ascii="仿宋" w:hAnsi="仿宋" w:eastAsia="仿宋" w:cs="仿宋"/>
          <w:color w:val="auto"/>
          <w:sz w:val="24"/>
          <w:highlight w:val="none"/>
        </w:rPr>
        <w:t>”</w:t>
      </w:r>
      <w:r>
        <w:rPr>
          <w:rStyle w:val="43"/>
          <w:rFonts w:hint="eastAsia" w:ascii="仿宋" w:hAnsi="仿宋" w:eastAsia="仿宋" w:cs="仿宋"/>
          <w:color w:val="auto"/>
          <w:sz w:val="24"/>
          <w:szCs w:val="28"/>
          <w:highlight w:val="none"/>
        </w:rPr>
        <w:t>有关印章进行确认时，表明乙方已同意该印章的使用，由此发生的一切责任由乙方承担。</w:t>
      </w:r>
    </w:p>
    <w:p w14:paraId="04B63054">
      <w:pPr>
        <w:numPr>
          <w:ilvl w:val="0"/>
          <w:numId w:val="3"/>
        </w:numPr>
        <w:snapToGrid w:val="0"/>
        <w:spacing w:line="360" w:lineRule="exact"/>
        <w:jc w:val="left"/>
        <w:rPr>
          <w:rStyle w:val="43"/>
          <w:rFonts w:ascii="仿宋" w:hAnsi="仿宋" w:eastAsia="仿宋" w:cs="仿宋"/>
          <w:color w:val="auto"/>
          <w:kern w:val="0"/>
          <w:sz w:val="24"/>
          <w:szCs w:val="28"/>
          <w:highlight w:val="none"/>
          <w:lang w:val="zh-CN"/>
        </w:rPr>
      </w:pPr>
      <w:r>
        <w:rPr>
          <w:rStyle w:val="43"/>
          <w:rFonts w:hint="eastAsia" w:ascii="仿宋" w:hAnsi="仿宋" w:eastAsia="仿宋" w:cs="仿宋"/>
          <w:color w:val="auto"/>
          <w:sz w:val="24"/>
          <w:szCs w:val="28"/>
          <w:highlight w:val="none"/>
        </w:rPr>
        <w:t>船舶规范：详见船舶《</w:t>
      </w:r>
      <w:r>
        <w:rPr>
          <w:rStyle w:val="43"/>
          <w:rFonts w:hint="eastAsia" w:ascii="仿宋" w:hAnsi="仿宋" w:eastAsia="仿宋" w:cs="仿宋"/>
          <w:color w:val="auto"/>
          <w:kern w:val="0"/>
          <w:sz w:val="24"/>
          <w:szCs w:val="28"/>
          <w:highlight w:val="none"/>
          <w:lang w:val="zh-CN"/>
        </w:rPr>
        <w:t>主要项目登记表》。</w:t>
      </w:r>
    </w:p>
    <w:p w14:paraId="4CBAB9CD">
      <w:pPr>
        <w:numPr>
          <w:ilvl w:val="0"/>
          <w:numId w:val="3"/>
        </w:numPr>
        <w:snapToGrid w:val="0"/>
        <w:spacing w:line="360" w:lineRule="exact"/>
        <w:jc w:val="left"/>
        <w:rPr>
          <w:rStyle w:val="43"/>
          <w:rFonts w:ascii="仿宋" w:hAnsi="仿宋" w:eastAsia="仿宋" w:cs="仿宋"/>
          <w:color w:val="auto"/>
          <w:kern w:val="0"/>
          <w:sz w:val="24"/>
          <w:szCs w:val="28"/>
          <w:highlight w:val="none"/>
          <w:lang w:val="zh-CN"/>
        </w:rPr>
      </w:pPr>
      <w:r>
        <w:rPr>
          <w:rStyle w:val="43"/>
          <w:rFonts w:hint="eastAsia" w:ascii="仿宋" w:hAnsi="仿宋" w:eastAsia="仿宋" w:cs="仿宋"/>
          <w:color w:val="auto"/>
          <w:kern w:val="0"/>
          <w:sz w:val="24"/>
          <w:szCs w:val="28"/>
          <w:highlight w:val="none"/>
        </w:rPr>
        <w:t>乙方</w:t>
      </w:r>
      <w:r>
        <w:rPr>
          <w:rStyle w:val="43"/>
          <w:rFonts w:hint="eastAsia" w:ascii="仿宋" w:hAnsi="仿宋" w:eastAsia="仿宋" w:cs="仿宋"/>
          <w:color w:val="auto"/>
          <w:kern w:val="0"/>
          <w:sz w:val="24"/>
          <w:szCs w:val="28"/>
          <w:highlight w:val="none"/>
          <w:lang w:val="zh-CN"/>
        </w:rPr>
        <w:t>使用的液货船舶及船公司符合以下条件：</w:t>
      </w:r>
    </w:p>
    <w:p w14:paraId="1F7ACF5A">
      <w:pPr>
        <w:snapToGrid w:val="0"/>
        <w:spacing w:line="360" w:lineRule="exact"/>
        <w:ind w:firstLine="425"/>
        <w:jc w:val="left"/>
        <w:rPr>
          <w:rStyle w:val="43"/>
          <w:rFonts w:ascii="仿宋" w:hAnsi="仿宋" w:eastAsia="仿宋" w:cs="仿宋"/>
          <w:color w:val="auto"/>
          <w:kern w:val="0"/>
          <w:sz w:val="24"/>
          <w:szCs w:val="28"/>
          <w:highlight w:val="none"/>
        </w:rPr>
      </w:pPr>
      <w:r>
        <w:rPr>
          <w:rStyle w:val="43"/>
          <w:rFonts w:hint="eastAsia" w:ascii="仿宋" w:hAnsi="仿宋" w:eastAsia="仿宋" w:cs="仿宋"/>
          <w:color w:val="auto"/>
          <w:kern w:val="0"/>
          <w:sz w:val="24"/>
          <w:szCs w:val="28"/>
          <w:highlight w:val="none"/>
          <w:lang w:val="zh-CN"/>
        </w:rPr>
        <w:t>（1）满足主管机关的法定要求；</w:t>
      </w:r>
      <w:r>
        <w:rPr>
          <w:rStyle w:val="43"/>
          <w:rFonts w:hint="eastAsia" w:ascii="仿宋" w:hAnsi="仿宋" w:eastAsia="仿宋" w:cs="仿宋"/>
          <w:color w:val="auto"/>
          <w:kern w:val="0"/>
          <w:sz w:val="24"/>
          <w:szCs w:val="28"/>
          <w:highlight w:val="none"/>
        </w:rPr>
        <w:t xml:space="preserve">  </w:t>
      </w:r>
    </w:p>
    <w:p w14:paraId="0E259535">
      <w:pPr>
        <w:snapToGrid w:val="0"/>
        <w:spacing w:line="360" w:lineRule="exact"/>
        <w:ind w:firstLine="425"/>
        <w:jc w:val="left"/>
        <w:rPr>
          <w:rStyle w:val="43"/>
          <w:rFonts w:ascii="仿宋" w:hAnsi="仿宋" w:eastAsia="仿宋" w:cs="仿宋"/>
          <w:color w:val="auto"/>
          <w:kern w:val="0"/>
          <w:sz w:val="24"/>
          <w:szCs w:val="28"/>
          <w:highlight w:val="none"/>
          <w:lang w:val="zh-CN"/>
        </w:rPr>
      </w:pPr>
      <w:r>
        <w:rPr>
          <w:rStyle w:val="43"/>
          <w:rFonts w:hint="eastAsia" w:ascii="仿宋" w:hAnsi="仿宋" w:eastAsia="仿宋" w:cs="仿宋"/>
          <w:color w:val="auto"/>
          <w:kern w:val="0"/>
          <w:sz w:val="24"/>
          <w:szCs w:val="28"/>
          <w:highlight w:val="none"/>
          <w:lang w:val="zh-CN"/>
        </w:rPr>
        <w:t>（2）船舶近一年之内需做过石油公司的检查，且观察项已完成整改；</w:t>
      </w:r>
    </w:p>
    <w:p w14:paraId="67AC59AE">
      <w:pPr>
        <w:snapToGrid w:val="0"/>
        <w:spacing w:line="360" w:lineRule="exact"/>
        <w:ind w:firstLine="425"/>
        <w:jc w:val="left"/>
        <w:rPr>
          <w:rStyle w:val="43"/>
          <w:rFonts w:ascii="仿宋" w:hAnsi="仿宋" w:eastAsia="仿宋" w:cs="仿宋"/>
          <w:color w:val="auto"/>
          <w:kern w:val="0"/>
          <w:sz w:val="24"/>
          <w:szCs w:val="28"/>
          <w:highlight w:val="none"/>
          <w:lang w:val="zh-CN"/>
        </w:rPr>
      </w:pPr>
      <w:r>
        <w:rPr>
          <w:rStyle w:val="43"/>
          <w:rFonts w:hint="eastAsia" w:ascii="仿宋" w:hAnsi="仿宋" w:eastAsia="仿宋" w:cs="仿宋"/>
          <w:color w:val="auto"/>
          <w:kern w:val="0"/>
          <w:sz w:val="24"/>
          <w:szCs w:val="28"/>
          <w:highlight w:val="none"/>
          <w:lang w:val="zh-CN"/>
        </w:rPr>
        <w:t>（3）双底双壳；</w:t>
      </w:r>
    </w:p>
    <w:p w14:paraId="4BD4C628">
      <w:pPr>
        <w:snapToGrid w:val="0"/>
        <w:spacing w:line="360" w:lineRule="exact"/>
        <w:ind w:firstLine="425"/>
        <w:jc w:val="left"/>
        <w:rPr>
          <w:rStyle w:val="43"/>
          <w:rFonts w:ascii="仿宋" w:hAnsi="仿宋" w:eastAsia="仿宋" w:cs="仿宋"/>
          <w:color w:val="auto"/>
          <w:kern w:val="0"/>
          <w:sz w:val="24"/>
          <w:szCs w:val="28"/>
          <w:highlight w:val="none"/>
          <w:lang w:val="zh-CN"/>
        </w:rPr>
      </w:pPr>
      <w:r>
        <w:rPr>
          <w:rStyle w:val="43"/>
          <w:rFonts w:hint="eastAsia" w:ascii="仿宋" w:hAnsi="仿宋" w:eastAsia="仿宋" w:cs="仿宋"/>
          <w:color w:val="auto"/>
          <w:kern w:val="0"/>
          <w:sz w:val="24"/>
          <w:szCs w:val="28"/>
          <w:highlight w:val="none"/>
          <w:lang w:val="zh-CN"/>
        </w:rPr>
        <w:t>（4）12个月内未发生事故或发生事故但已进行充分事故调查的公司；</w:t>
      </w:r>
    </w:p>
    <w:p w14:paraId="7856E281">
      <w:pPr>
        <w:snapToGrid w:val="0"/>
        <w:spacing w:line="360" w:lineRule="exact"/>
        <w:ind w:firstLine="425"/>
        <w:jc w:val="left"/>
        <w:rPr>
          <w:rStyle w:val="43"/>
          <w:rFonts w:ascii="仿宋" w:hAnsi="仿宋" w:eastAsia="仿宋" w:cs="仿宋"/>
          <w:color w:val="auto"/>
          <w:spacing w:val="-6"/>
          <w:sz w:val="24"/>
          <w:szCs w:val="28"/>
          <w:highlight w:val="none"/>
        </w:rPr>
      </w:pPr>
      <w:r>
        <w:rPr>
          <w:rStyle w:val="43"/>
          <w:rFonts w:hint="eastAsia" w:ascii="仿宋" w:hAnsi="仿宋" w:eastAsia="仿宋" w:cs="仿宋"/>
          <w:color w:val="auto"/>
          <w:kern w:val="0"/>
          <w:sz w:val="24"/>
          <w:szCs w:val="28"/>
          <w:highlight w:val="none"/>
          <w:lang w:val="zh-CN"/>
        </w:rPr>
        <w:t xml:space="preserve">（5）6个月内未被主管机关滞留或被滞留有合理解释的船舶。                                                   </w:t>
      </w:r>
    </w:p>
    <w:p w14:paraId="10D3572D">
      <w:pPr>
        <w:numPr>
          <w:ilvl w:val="0"/>
          <w:numId w:val="2"/>
        </w:numPr>
        <w:snapToGrid w:val="0"/>
        <w:spacing w:line="300" w:lineRule="exact"/>
        <w:rPr>
          <w:rStyle w:val="43"/>
          <w:rFonts w:ascii="仿宋" w:hAnsi="仿宋" w:eastAsia="仿宋" w:cs="仿宋"/>
          <w:b/>
          <w:bCs/>
          <w:color w:val="auto"/>
          <w:spacing w:val="-6"/>
          <w:sz w:val="24"/>
          <w:szCs w:val="28"/>
          <w:highlight w:val="none"/>
        </w:rPr>
      </w:pPr>
      <w:r>
        <w:rPr>
          <w:rStyle w:val="43"/>
          <w:rFonts w:hint="eastAsia" w:ascii="仿宋" w:hAnsi="仿宋" w:eastAsia="仿宋" w:cs="仿宋"/>
          <w:b/>
          <w:bCs/>
          <w:color w:val="auto"/>
          <w:spacing w:val="-6"/>
          <w:sz w:val="24"/>
          <w:szCs w:val="28"/>
          <w:highlight w:val="none"/>
        </w:rPr>
        <w:t>货物及数量</w:t>
      </w:r>
    </w:p>
    <w:p w14:paraId="2A50E9DC">
      <w:pPr>
        <w:numPr>
          <w:ilvl w:val="0"/>
          <w:numId w:val="4"/>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pacing w:val="-6"/>
          <w:sz w:val="24"/>
          <w:szCs w:val="28"/>
          <w:highlight w:val="none"/>
        </w:rPr>
        <w:t>货物名称：</w:t>
      </w:r>
      <w:r>
        <w:rPr>
          <w:rFonts w:hint="eastAsia" w:ascii="仿宋" w:hAnsi="仿宋" w:eastAsia="仿宋" w:cs="仿宋"/>
          <w:color w:val="auto"/>
          <w:sz w:val="24"/>
          <w:szCs w:val="24"/>
          <w:highlight w:val="none"/>
        </w:rPr>
        <w:t>以单次询报价货物为准</w:t>
      </w:r>
      <w:r>
        <w:rPr>
          <w:rStyle w:val="43"/>
          <w:rFonts w:hint="eastAsia" w:ascii="仿宋" w:hAnsi="仿宋" w:eastAsia="仿宋" w:cs="仿宋"/>
          <w:color w:val="auto"/>
          <w:sz w:val="24"/>
          <w:szCs w:val="28"/>
          <w:highlight w:val="none"/>
        </w:rPr>
        <w:t>。</w:t>
      </w:r>
    </w:p>
    <w:p w14:paraId="207BCC90">
      <w:pPr>
        <w:numPr>
          <w:ilvl w:val="0"/>
          <w:numId w:val="4"/>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包装种类：散装液体。</w:t>
      </w:r>
    </w:p>
    <w:p w14:paraId="5B4EE00E">
      <w:pPr>
        <w:numPr>
          <w:ilvl w:val="0"/>
          <w:numId w:val="4"/>
        </w:numPr>
        <w:snapToGrid w:val="0"/>
        <w:spacing w:line="360" w:lineRule="exact"/>
        <w:rPr>
          <w:rStyle w:val="43"/>
          <w:rFonts w:ascii="仿宋" w:hAnsi="仿宋" w:eastAsia="仿宋" w:cs="仿宋"/>
          <w:color w:val="auto"/>
          <w:sz w:val="24"/>
          <w:highlight w:val="none"/>
        </w:rPr>
      </w:pPr>
      <w:r>
        <w:rPr>
          <w:rStyle w:val="43"/>
          <w:rFonts w:hint="eastAsia" w:ascii="仿宋" w:hAnsi="仿宋" w:eastAsia="仿宋" w:cs="仿宋"/>
          <w:color w:val="auto"/>
          <w:sz w:val="24"/>
          <w:szCs w:val="28"/>
          <w:highlight w:val="none"/>
        </w:rPr>
        <w:t>货物数量：</w:t>
      </w:r>
      <w:r>
        <w:rPr>
          <w:rFonts w:hint="eastAsia" w:ascii="仿宋" w:hAnsi="仿宋" w:eastAsia="仿宋" w:cs="仿宋"/>
          <w:color w:val="auto"/>
          <w:sz w:val="24"/>
          <w:szCs w:val="24"/>
          <w:highlight w:val="none"/>
        </w:rPr>
        <w:t>以单次询报价约定的货物数量为准</w:t>
      </w:r>
      <w:r>
        <w:rPr>
          <w:rStyle w:val="43"/>
          <w:rFonts w:hint="eastAsia" w:ascii="仿宋" w:hAnsi="仿宋" w:eastAsia="仿宋" w:cs="仿宋"/>
          <w:color w:val="auto"/>
          <w:sz w:val="24"/>
          <w:highlight w:val="none"/>
        </w:rPr>
        <w:t>。</w:t>
      </w:r>
    </w:p>
    <w:p w14:paraId="2BC348E1">
      <w:pPr>
        <w:snapToGrid w:val="0"/>
        <w:spacing w:line="300" w:lineRule="exact"/>
        <w:jc w:val="left"/>
        <w:rPr>
          <w:rStyle w:val="43"/>
          <w:rFonts w:ascii="仿宋" w:hAnsi="仿宋" w:eastAsia="仿宋" w:cs="仿宋"/>
          <w:color w:val="auto"/>
          <w:highlight w:val="none"/>
        </w:rPr>
      </w:pPr>
      <w:r>
        <w:rPr>
          <w:rStyle w:val="43"/>
          <w:rFonts w:hint="eastAsia" w:ascii="仿宋" w:hAnsi="仿宋" w:eastAsia="仿宋" w:cs="仿宋"/>
          <w:b/>
          <w:bCs/>
          <w:color w:val="auto"/>
          <w:spacing w:val="-6"/>
          <w:sz w:val="24"/>
          <w:szCs w:val="28"/>
          <w:highlight w:val="none"/>
        </w:rPr>
        <w:t xml:space="preserve">第三条 </w:t>
      </w:r>
      <w:r>
        <w:rPr>
          <w:rStyle w:val="43"/>
          <w:rFonts w:hint="eastAsia" w:ascii="仿宋" w:hAnsi="仿宋" w:eastAsia="仿宋" w:cs="仿宋"/>
          <w:color w:val="auto"/>
          <w:sz w:val="24"/>
          <w:highlight w:val="none"/>
        </w:rPr>
        <w:t xml:space="preserve"> </w:t>
      </w:r>
      <w:r>
        <w:rPr>
          <w:rStyle w:val="43"/>
          <w:rFonts w:hint="eastAsia" w:ascii="仿宋" w:hAnsi="仿宋" w:eastAsia="仿宋" w:cs="仿宋"/>
          <w:b/>
          <w:bCs/>
          <w:color w:val="auto"/>
          <w:spacing w:val="-6"/>
          <w:sz w:val="24"/>
          <w:szCs w:val="28"/>
          <w:highlight w:val="none"/>
        </w:rPr>
        <w:t>船舶受载期：</w:t>
      </w:r>
      <w:r>
        <w:rPr>
          <w:rFonts w:hint="eastAsia" w:ascii="仿宋" w:hAnsi="仿宋" w:eastAsia="仿宋" w:cs="仿宋"/>
          <w:color w:val="auto"/>
          <w:sz w:val="24"/>
          <w:szCs w:val="24"/>
          <w:highlight w:val="none"/>
        </w:rPr>
        <w:t>以单次询报价的受载期为准。</w:t>
      </w:r>
    </w:p>
    <w:p w14:paraId="50F0F4E9">
      <w:pPr>
        <w:snapToGrid w:val="0"/>
        <w:spacing w:line="300" w:lineRule="exact"/>
        <w:rPr>
          <w:rStyle w:val="43"/>
          <w:rFonts w:ascii="仿宋" w:hAnsi="仿宋" w:eastAsia="仿宋" w:cs="仿宋"/>
          <w:b/>
          <w:bCs/>
          <w:color w:val="auto"/>
          <w:spacing w:val="-6"/>
          <w:sz w:val="24"/>
          <w:szCs w:val="28"/>
          <w:highlight w:val="none"/>
        </w:rPr>
      </w:pPr>
      <w:r>
        <w:rPr>
          <w:rStyle w:val="43"/>
          <w:rFonts w:hint="eastAsia" w:ascii="仿宋" w:hAnsi="仿宋" w:eastAsia="仿宋" w:cs="仿宋"/>
          <w:b/>
          <w:bCs/>
          <w:color w:val="auto"/>
          <w:spacing w:val="-6"/>
          <w:sz w:val="24"/>
          <w:szCs w:val="28"/>
          <w:highlight w:val="none"/>
        </w:rPr>
        <w:t>第四条 装/卸货港：</w:t>
      </w:r>
      <w:r>
        <w:rPr>
          <w:rStyle w:val="43"/>
          <w:rFonts w:hint="eastAsia" w:ascii="仿宋" w:hAnsi="仿宋" w:eastAsia="仿宋" w:cs="仿宋"/>
          <w:b/>
          <w:bCs/>
          <w:color w:val="auto"/>
          <w:spacing w:val="-6"/>
          <w:sz w:val="24"/>
          <w:szCs w:val="28"/>
          <w:highlight w:val="none"/>
        </w:rPr>
        <w:tab/>
      </w:r>
    </w:p>
    <w:p w14:paraId="6E84C9CF">
      <w:pPr>
        <w:numPr>
          <w:ilvl w:val="0"/>
          <w:numId w:val="5"/>
        </w:numPr>
        <w:snapToGrid w:val="0"/>
        <w:spacing w:line="360" w:lineRule="exact"/>
        <w:rPr>
          <w:rStyle w:val="43"/>
          <w:rFonts w:ascii="仿宋" w:hAnsi="仿宋" w:eastAsia="仿宋" w:cs="仿宋"/>
          <w:color w:val="auto"/>
          <w:kern w:val="0"/>
          <w:sz w:val="24"/>
          <w:highlight w:val="none"/>
        </w:rPr>
      </w:pPr>
      <w:r>
        <w:rPr>
          <w:rStyle w:val="43"/>
          <w:rFonts w:hint="eastAsia" w:ascii="仿宋" w:hAnsi="仿宋" w:eastAsia="仿宋" w:cs="仿宋"/>
          <w:color w:val="auto"/>
          <w:spacing w:val="-6"/>
          <w:sz w:val="24"/>
          <w:szCs w:val="28"/>
          <w:highlight w:val="none"/>
        </w:rPr>
        <w:t>装</w:t>
      </w:r>
      <w:r>
        <w:rPr>
          <w:rStyle w:val="43"/>
          <w:rFonts w:hint="eastAsia" w:ascii="仿宋" w:hAnsi="仿宋" w:eastAsia="仿宋" w:cs="仿宋"/>
          <w:color w:val="auto"/>
          <w:kern w:val="0"/>
          <w:sz w:val="24"/>
          <w:highlight w:val="none"/>
        </w:rPr>
        <w:t>货港：</w:t>
      </w:r>
      <w:r>
        <w:rPr>
          <w:rFonts w:hint="eastAsia" w:ascii="仿宋" w:hAnsi="仿宋" w:eastAsia="仿宋" w:cs="仿宋"/>
          <w:color w:val="auto"/>
          <w:sz w:val="24"/>
          <w:szCs w:val="24"/>
          <w:highlight w:val="none"/>
        </w:rPr>
        <w:t>以单次询报价的装货港为准</w:t>
      </w:r>
      <w:r>
        <w:rPr>
          <w:rStyle w:val="43"/>
          <w:rFonts w:hint="eastAsia" w:ascii="仿宋" w:hAnsi="仿宋" w:eastAsia="仿宋" w:cs="仿宋"/>
          <w:color w:val="auto"/>
          <w:kern w:val="0"/>
          <w:sz w:val="24"/>
          <w:highlight w:val="none"/>
        </w:rPr>
        <w:t>。</w:t>
      </w:r>
    </w:p>
    <w:p w14:paraId="65BF0529">
      <w:pPr>
        <w:numPr>
          <w:ilvl w:val="0"/>
          <w:numId w:val="5"/>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kern w:val="0"/>
          <w:sz w:val="24"/>
          <w:highlight w:val="none"/>
        </w:rPr>
        <w:t xml:space="preserve">卸货港: </w:t>
      </w:r>
      <w:r>
        <w:rPr>
          <w:rFonts w:hint="eastAsia" w:ascii="仿宋" w:hAnsi="仿宋" w:eastAsia="仿宋" w:cs="仿宋"/>
          <w:color w:val="auto"/>
          <w:sz w:val="24"/>
          <w:szCs w:val="24"/>
          <w:highlight w:val="none"/>
        </w:rPr>
        <w:t>以单次询报价的卸货港为准</w:t>
      </w:r>
      <w:r>
        <w:rPr>
          <w:rStyle w:val="43"/>
          <w:rFonts w:hint="eastAsia" w:ascii="仿宋" w:hAnsi="仿宋" w:eastAsia="仿宋" w:cs="仿宋"/>
          <w:color w:val="auto"/>
          <w:kern w:val="0"/>
          <w:sz w:val="24"/>
          <w:highlight w:val="none"/>
        </w:rPr>
        <w:t>。</w:t>
      </w:r>
    </w:p>
    <w:p w14:paraId="08B08DEE">
      <w:pPr>
        <w:snapToGrid w:val="0"/>
        <w:spacing w:line="30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第五条 运费及支付方式</w:t>
      </w:r>
    </w:p>
    <w:p w14:paraId="66F3DBEB">
      <w:pPr>
        <w:numPr>
          <w:ilvl w:val="0"/>
          <w:numId w:val="6"/>
        </w:numPr>
        <w:wordWrap w:val="0"/>
        <w:snapToGrid w:val="0"/>
        <w:spacing w:line="360" w:lineRule="atLeast"/>
        <w:rPr>
          <w:rStyle w:val="43"/>
          <w:rFonts w:ascii="仿宋" w:hAnsi="仿宋" w:eastAsia="仿宋" w:cs="仿宋"/>
          <w:color w:val="auto"/>
          <w:spacing w:val="-6"/>
          <w:sz w:val="24"/>
          <w:szCs w:val="28"/>
          <w:highlight w:val="none"/>
        </w:rPr>
      </w:pPr>
      <w:r>
        <w:rPr>
          <w:rStyle w:val="43"/>
          <w:rFonts w:hint="eastAsia" w:ascii="仿宋" w:hAnsi="仿宋" w:eastAsia="仿宋" w:cs="仿宋"/>
          <w:color w:val="auto"/>
          <w:sz w:val="24"/>
          <w:szCs w:val="28"/>
          <w:highlight w:val="none"/>
        </w:rPr>
        <w:t>运费：</w:t>
      </w:r>
      <w:r>
        <w:rPr>
          <w:rFonts w:hint="eastAsia" w:ascii="仿宋" w:hAnsi="仿宋" w:eastAsia="仿宋" w:cs="仿宋"/>
          <w:color w:val="auto"/>
          <w:sz w:val="24"/>
          <w:szCs w:val="24"/>
          <w:highlight w:val="none"/>
        </w:rPr>
        <w:t>（以单次询报价作为结算单价)</w:t>
      </w:r>
      <w:r>
        <w:rPr>
          <w:rStyle w:val="43"/>
          <w:rFonts w:hint="eastAsia" w:ascii="仿宋" w:hAnsi="仿宋" w:eastAsia="仿宋" w:cs="仿宋"/>
          <w:color w:val="auto"/>
          <w:spacing w:val="-6"/>
          <w:sz w:val="24"/>
          <w:szCs w:val="28"/>
          <w:highlight w:val="none"/>
        </w:rPr>
        <w:t xml:space="preserve">,RMB </w:t>
      </w:r>
      <w:r>
        <w:rPr>
          <w:rStyle w:val="43"/>
          <w:rFonts w:hint="eastAsia" w:ascii="仿宋" w:hAnsi="仿宋" w:eastAsia="仿宋" w:cs="仿宋"/>
          <w:color w:val="auto"/>
          <w:spacing w:val="-6"/>
          <w:sz w:val="24"/>
          <w:szCs w:val="28"/>
          <w:highlight w:val="none"/>
          <w:u w:val="single"/>
        </w:rPr>
        <w:t xml:space="preserve">  </w:t>
      </w:r>
      <w:r>
        <w:rPr>
          <w:rStyle w:val="43"/>
          <w:rFonts w:hint="eastAsia" w:ascii="仿宋" w:hAnsi="仿宋" w:eastAsia="仿宋" w:cs="仿宋"/>
          <w:color w:val="auto"/>
          <w:spacing w:val="-6"/>
          <w:sz w:val="24"/>
          <w:szCs w:val="28"/>
          <w:highlight w:val="none"/>
          <w:u w:val="single"/>
          <w:lang w:val="en-US" w:eastAsia="zh-CN"/>
        </w:rPr>
        <w:t xml:space="preserve"> </w:t>
      </w:r>
      <w:r>
        <w:rPr>
          <w:rStyle w:val="43"/>
          <w:rFonts w:hint="eastAsia" w:ascii="仿宋" w:hAnsi="仿宋" w:eastAsia="仿宋" w:cs="仿宋"/>
          <w:color w:val="auto"/>
          <w:spacing w:val="-6"/>
          <w:sz w:val="24"/>
          <w:szCs w:val="28"/>
          <w:highlight w:val="none"/>
        </w:rPr>
        <w:t>元/吨，总金额</w:t>
      </w:r>
      <w:r>
        <w:rPr>
          <w:rStyle w:val="43"/>
          <w:rFonts w:hint="eastAsia" w:ascii="仿宋" w:hAnsi="仿宋" w:eastAsia="仿宋" w:cs="仿宋"/>
          <w:color w:val="auto"/>
          <w:spacing w:val="-6"/>
          <w:sz w:val="24"/>
          <w:szCs w:val="28"/>
          <w:highlight w:val="none"/>
          <w:u w:val="single"/>
        </w:rPr>
        <w:t xml:space="preserve"> </w:t>
      </w:r>
      <w:r>
        <w:rPr>
          <w:rStyle w:val="43"/>
          <w:rFonts w:hint="eastAsia" w:ascii="仿宋" w:hAnsi="仿宋" w:eastAsia="仿宋" w:cs="仿宋"/>
          <w:color w:val="auto"/>
          <w:spacing w:val="-6"/>
          <w:sz w:val="24"/>
          <w:szCs w:val="28"/>
          <w:highlight w:val="none"/>
        </w:rPr>
        <w:t xml:space="preserve">元（大写人民币 </w:t>
      </w:r>
      <w:r>
        <w:rPr>
          <w:rStyle w:val="43"/>
          <w:rFonts w:hint="eastAsia" w:ascii="仿宋" w:hAnsi="仿宋" w:eastAsia="仿宋" w:cs="仿宋"/>
          <w:color w:val="auto"/>
          <w:spacing w:val="-6"/>
          <w:sz w:val="24"/>
          <w:szCs w:val="28"/>
          <w:highlight w:val="none"/>
          <w:u w:val="single"/>
        </w:rPr>
        <w:t xml:space="preserve">     元整</w:t>
      </w:r>
      <w:r>
        <w:rPr>
          <w:rStyle w:val="43"/>
          <w:rFonts w:hint="eastAsia" w:ascii="仿宋" w:hAnsi="仿宋" w:eastAsia="仿宋" w:cs="仿宋"/>
          <w:color w:val="auto"/>
          <w:spacing w:val="-6"/>
          <w:sz w:val="24"/>
          <w:szCs w:val="28"/>
          <w:highlight w:val="none"/>
        </w:rPr>
        <w:t>，其中不含税价</w:t>
      </w:r>
      <w:r>
        <w:rPr>
          <w:rStyle w:val="43"/>
          <w:rFonts w:hint="eastAsia" w:ascii="仿宋" w:hAnsi="仿宋" w:eastAsia="仿宋" w:cs="仿宋"/>
          <w:color w:val="auto"/>
          <w:spacing w:val="-6"/>
          <w:sz w:val="24"/>
          <w:szCs w:val="28"/>
          <w:highlight w:val="none"/>
          <w:u w:val="single"/>
        </w:rPr>
        <w:t xml:space="preserve"> </w:t>
      </w:r>
      <w:r>
        <w:rPr>
          <w:rStyle w:val="43"/>
          <w:rFonts w:hint="eastAsia" w:ascii="仿宋" w:hAnsi="仿宋" w:eastAsia="仿宋" w:cs="仿宋"/>
          <w:color w:val="auto"/>
          <w:spacing w:val="-6"/>
          <w:sz w:val="24"/>
          <w:szCs w:val="28"/>
          <w:highlight w:val="none"/>
          <w:u w:val="single"/>
          <w:lang w:val="en-US" w:eastAsia="zh-CN"/>
        </w:rPr>
        <w:t xml:space="preserve">  </w:t>
      </w:r>
      <w:r>
        <w:rPr>
          <w:rStyle w:val="43"/>
          <w:rFonts w:hint="eastAsia" w:ascii="仿宋" w:hAnsi="仿宋" w:eastAsia="仿宋" w:cs="仿宋"/>
          <w:color w:val="auto"/>
          <w:spacing w:val="-6"/>
          <w:sz w:val="24"/>
          <w:szCs w:val="28"/>
          <w:highlight w:val="none"/>
        </w:rPr>
        <w:t>元，税额</w:t>
      </w:r>
      <w:r>
        <w:rPr>
          <w:rStyle w:val="43"/>
          <w:rFonts w:hint="eastAsia" w:ascii="仿宋" w:hAnsi="仿宋" w:eastAsia="仿宋" w:cs="仿宋"/>
          <w:color w:val="auto"/>
          <w:spacing w:val="-6"/>
          <w:sz w:val="24"/>
          <w:szCs w:val="28"/>
          <w:highlight w:val="none"/>
          <w:u w:val="single"/>
        </w:rPr>
        <w:t xml:space="preserve"> </w:t>
      </w:r>
      <w:r>
        <w:rPr>
          <w:rStyle w:val="43"/>
          <w:rFonts w:hint="eastAsia" w:ascii="仿宋" w:hAnsi="仿宋" w:eastAsia="仿宋" w:cs="仿宋"/>
          <w:color w:val="auto"/>
          <w:spacing w:val="-6"/>
          <w:sz w:val="24"/>
          <w:szCs w:val="28"/>
          <w:highlight w:val="none"/>
          <w:u w:val="single"/>
          <w:lang w:val="en-US" w:eastAsia="zh-CN"/>
        </w:rPr>
        <w:t xml:space="preserve">  </w:t>
      </w:r>
      <w:r>
        <w:rPr>
          <w:rStyle w:val="43"/>
          <w:rFonts w:hint="eastAsia" w:ascii="仿宋" w:hAnsi="仿宋" w:eastAsia="仿宋" w:cs="仿宋"/>
          <w:color w:val="auto"/>
          <w:spacing w:val="-6"/>
          <w:sz w:val="24"/>
          <w:szCs w:val="28"/>
          <w:highlight w:val="none"/>
        </w:rPr>
        <w:t>元），运价中已经包含船舶运输中所发生的全部费用，包括围油栏费用等。</w:t>
      </w:r>
    </w:p>
    <w:p w14:paraId="26AFA6E4">
      <w:pPr>
        <w:numPr>
          <w:ilvl w:val="0"/>
          <w:numId w:val="6"/>
        </w:numPr>
        <w:snapToGrid w:val="0"/>
        <w:spacing w:line="360" w:lineRule="atLeast"/>
        <w:rPr>
          <w:rStyle w:val="43"/>
          <w:rFonts w:ascii="仿宋" w:hAnsi="仿宋" w:eastAsia="仿宋" w:cs="仿宋"/>
          <w:color w:val="auto"/>
          <w:kern w:val="0"/>
          <w:sz w:val="20"/>
          <w:szCs w:val="20"/>
          <w:highlight w:val="none"/>
        </w:rPr>
      </w:pPr>
      <w:r>
        <w:rPr>
          <w:rStyle w:val="43"/>
          <w:rFonts w:hint="eastAsia" w:ascii="仿宋" w:hAnsi="仿宋" w:eastAsia="仿宋" w:cs="仿宋"/>
          <w:color w:val="auto"/>
          <w:sz w:val="24"/>
          <w:szCs w:val="28"/>
          <w:highlight w:val="none"/>
        </w:rPr>
        <w:t>支付方式：货物完卸后，乙方负责完善货物交接手续，在完卸后一个工作日内把货物交接单回传给甲方，若数量、质量无异议，双方进行结算，双方完成结算后，乙方向甲方开具税率9%的增值税专用发票，甲方收到发票和货物交接单后15天内将运费支付到乙方以下账号：</w:t>
      </w:r>
    </w:p>
    <w:p w14:paraId="0C708505">
      <w:pPr>
        <w:spacing w:line="360" w:lineRule="atLeast"/>
        <w:ind w:firstLine="480" w:firstLineChars="200"/>
        <w:jc w:val="left"/>
        <w:rPr>
          <w:rFonts w:ascii="仿宋" w:hAnsi="仿宋" w:eastAsia="仿宋" w:cs="仿宋"/>
          <w:bCs/>
          <w:color w:val="auto"/>
          <w:sz w:val="24"/>
          <w:szCs w:val="28"/>
          <w:highlight w:val="none"/>
        </w:rPr>
      </w:pPr>
      <w:r>
        <w:rPr>
          <w:rStyle w:val="43"/>
          <w:rFonts w:hint="eastAsia" w:ascii="仿宋" w:hAnsi="仿宋" w:eastAsia="仿宋" w:cs="仿宋"/>
          <w:color w:val="auto"/>
          <w:sz w:val="24"/>
          <w:szCs w:val="28"/>
          <w:highlight w:val="none"/>
        </w:rPr>
        <w:t>账  户：</w:t>
      </w:r>
      <w:r>
        <w:rPr>
          <w:rFonts w:hint="eastAsia" w:ascii="仿宋" w:hAnsi="仿宋" w:eastAsia="仿宋" w:cs="仿宋"/>
          <w:bCs/>
          <w:color w:val="auto"/>
          <w:sz w:val="24"/>
          <w:szCs w:val="28"/>
          <w:highlight w:val="none"/>
        </w:rPr>
        <w:t xml:space="preserve"> </w:t>
      </w:r>
    </w:p>
    <w:p w14:paraId="6B679216">
      <w:pPr>
        <w:spacing w:line="360" w:lineRule="atLeast"/>
        <w:ind w:firstLine="480" w:firstLineChars="200"/>
        <w:jc w:val="lef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账  号：</w:t>
      </w:r>
    </w:p>
    <w:p w14:paraId="7A6FEAFD">
      <w:pPr>
        <w:spacing w:line="360" w:lineRule="atLeast"/>
        <w:ind w:firstLine="480" w:firstLineChars="200"/>
        <w:jc w:val="left"/>
        <w:rPr>
          <w:rStyle w:val="43"/>
          <w:rFonts w:ascii="仿宋" w:hAnsi="仿宋" w:eastAsia="仿宋" w:cs="仿宋"/>
          <w:b/>
          <w:bCs/>
          <w:color w:val="auto"/>
          <w:spacing w:val="-6"/>
          <w:sz w:val="24"/>
          <w:szCs w:val="28"/>
          <w:highlight w:val="none"/>
        </w:rPr>
      </w:pPr>
      <w:r>
        <w:rPr>
          <w:rStyle w:val="43"/>
          <w:rFonts w:hint="eastAsia" w:ascii="仿宋" w:hAnsi="仿宋" w:eastAsia="仿宋" w:cs="仿宋"/>
          <w:color w:val="auto"/>
          <w:sz w:val="24"/>
          <w:szCs w:val="28"/>
          <w:highlight w:val="none"/>
        </w:rPr>
        <w:t xml:space="preserve">开户行： </w:t>
      </w:r>
    </w:p>
    <w:p w14:paraId="729470BA">
      <w:pPr>
        <w:spacing w:line="360" w:lineRule="exact"/>
        <w:rPr>
          <w:rStyle w:val="43"/>
          <w:rFonts w:ascii="仿宋" w:hAnsi="仿宋" w:eastAsia="仿宋" w:cs="仿宋"/>
          <w:b/>
          <w:bCs/>
          <w:color w:val="auto"/>
          <w:spacing w:val="-6"/>
          <w:sz w:val="24"/>
          <w:szCs w:val="28"/>
          <w:highlight w:val="none"/>
        </w:rPr>
      </w:pPr>
      <w:r>
        <w:rPr>
          <w:rStyle w:val="43"/>
          <w:rFonts w:hint="eastAsia" w:ascii="仿宋" w:hAnsi="仿宋" w:eastAsia="仿宋" w:cs="仿宋"/>
          <w:b/>
          <w:bCs/>
          <w:color w:val="auto"/>
          <w:spacing w:val="-6"/>
          <w:sz w:val="24"/>
          <w:szCs w:val="28"/>
          <w:highlight w:val="none"/>
        </w:rPr>
        <w:t>第六条 装卸费用</w:t>
      </w:r>
    </w:p>
    <w:p w14:paraId="19CCC2FD">
      <w:pPr>
        <w:numPr>
          <w:ilvl w:val="0"/>
          <w:numId w:val="7"/>
        </w:numPr>
        <w:snapToGrid w:val="0"/>
        <w:spacing w:line="360" w:lineRule="exact"/>
        <w:rPr>
          <w:rStyle w:val="43"/>
          <w:rFonts w:ascii="仿宋" w:hAnsi="仿宋" w:eastAsia="仿宋" w:cs="仿宋"/>
          <w:color w:val="auto"/>
          <w:spacing w:val="-6"/>
          <w:sz w:val="24"/>
          <w:highlight w:val="none"/>
        </w:rPr>
      </w:pPr>
      <w:r>
        <w:rPr>
          <w:rStyle w:val="43"/>
          <w:rFonts w:hint="eastAsia" w:ascii="仿宋" w:hAnsi="仿宋" w:eastAsia="仿宋" w:cs="仿宋"/>
          <w:color w:val="auto"/>
          <w:spacing w:val="-6"/>
          <w:sz w:val="24"/>
          <w:highlight w:val="none"/>
        </w:rPr>
        <w:t>甲方负责与货物相关的装卸费等货方费用，并须承担一个装港和一个卸港之外的港口使费和相应产生的费用。</w:t>
      </w:r>
    </w:p>
    <w:p w14:paraId="331614A2">
      <w:pPr>
        <w:numPr>
          <w:ilvl w:val="0"/>
          <w:numId w:val="7"/>
        </w:numPr>
        <w:snapToGrid w:val="0"/>
        <w:spacing w:line="360" w:lineRule="exact"/>
        <w:rPr>
          <w:rStyle w:val="43"/>
          <w:rFonts w:ascii="仿宋" w:hAnsi="仿宋" w:eastAsia="仿宋" w:cs="仿宋"/>
          <w:color w:val="auto"/>
          <w:spacing w:val="-6"/>
          <w:sz w:val="24"/>
          <w:highlight w:val="none"/>
        </w:rPr>
      </w:pPr>
      <w:r>
        <w:rPr>
          <w:rStyle w:val="43"/>
          <w:rFonts w:hint="eastAsia" w:ascii="仿宋" w:hAnsi="仿宋" w:eastAsia="仿宋" w:cs="仿宋"/>
          <w:color w:val="auto"/>
          <w:spacing w:val="-6"/>
          <w:sz w:val="24"/>
          <w:highlight w:val="none"/>
        </w:rPr>
        <w:t>乙方负责船舶在一个装港和一个卸港港务费、船舶港监签证费、引水费、</w:t>
      </w:r>
      <w:r>
        <w:rPr>
          <w:rStyle w:val="43"/>
          <w:rFonts w:hint="eastAsia" w:ascii="仿宋" w:hAnsi="仿宋" w:eastAsia="仿宋" w:cs="仿宋"/>
          <w:color w:val="auto"/>
          <w:spacing w:val="-6"/>
          <w:sz w:val="24"/>
          <w:highlight w:val="none"/>
          <w:lang w:val="en-US" w:eastAsia="zh-CN"/>
        </w:rPr>
        <w:t>拖轮费、</w:t>
      </w:r>
      <w:r>
        <w:rPr>
          <w:rStyle w:val="43"/>
          <w:rFonts w:hint="eastAsia" w:ascii="仿宋" w:hAnsi="仿宋" w:eastAsia="仿宋" w:cs="仿宋"/>
          <w:color w:val="auto"/>
          <w:spacing w:val="-6"/>
          <w:sz w:val="24"/>
          <w:highlight w:val="none"/>
        </w:rPr>
        <w:t>代理费及交通部规定的船舶应承担的费用。</w:t>
      </w:r>
    </w:p>
    <w:p w14:paraId="3CFED640">
      <w:pPr>
        <w:numPr>
          <w:ilvl w:val="0"/>
          <w:numId w:val="7"/>
        </w:numPr>
        <w:snapToGrid w:val="0"/>
        <w:spacing w:line="360" w:lineRule="exact"/>
        <w:rPr>
          <w:rStyle w:val="43"/>
          <w:rFonts w:ascii="仿宋" w:hAnsi="仿宋" w:eastAsia="仿宋" w:cs="仿宋"/>
          <w:color w:val="auto"/>
          <w:spacing w:val="-6"/>
          <w:sz w:val="24"/>
          <w:szCs w:val="28"/>
          <w:highlight w:val="none"/>
        </w:rPr>
      </w:pPr>
      <w:r>
        <w:rPr>
          <w:rStyle w:val="43"/>
          <w:rFonts w:hint="eastAsia" w:ascii="仿宋" w:hAnsi="仿宋" w:eastAsia="仿宋" w:cs="仿宋"/>
          <w:color w:val="auto"/>
          <w:spacing w:val="-6"/>
          <w:sz w:val="24"/>
          <w:szCs w:val="28"/>
          <w:highlight w:val="none"/>
        </w:rPr>
        <w:t>与船舶、船员相关的保险由乙方负责。</w:t>
      </w:r>
    </w:p>
    <w:p w14:paraId="6A358DB5">
      <w:pPr>
        <w:snapToGrid w:val="0"/>
        <w:spacing w:line="360" w:lineRule="exact"/>
        <w:rPr>
          <w:rStyle w:val="43"/>
          <w:rFonts w:ascii="仿宋" w:hAnsi="仿宋" w:eastAsia="仿宋" w:cs="仿宋"/>
          <w:b/>
          <w:bCs/>
          <w:color w:val="auto"/>
          <w:spacing w:val="-6"/>
          <w:sz w:val="24"/>
          <w:szCs w:val="28"/>
          <w:highlight w:val="none"/>
        </w:rPr>
      </w:pPr>
      <w:r>
        <w:rPr>
          <w:rStyle w:val="43"/>
          <w:rFonts w:hint="eastAsia" w:ascii="仿宋" w:hAnsi="仿宋" w:eastAsia="仿宋" w:cs="仿宋"/>
          <w:b/>
          <w:bCs/>
          <w:color w:val="auto"/>
          <w:spacing w:val="-6"/>
          <w:sz w:val="24"/>
          <w:szCs w:val="28"/>
          <w:highlight w:val="none"/>
        </w:rPr>
        <w:t>第七条 装卸时间及滞期费</w:t>
      </w:r>
    </w:p>
    <w:p w14:paraId="00760B78">
      <w:pPr>
        <w:numPr>
          <w:ilvl w:val="0"/>
          <w:numId w:val="8"/>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本合同规定，除不可抗力原因外，船舶装/卸两港的装/卸货总时间为96小时，装/卸两港可以调节使用。</w:t>
      </w:r>
    </w:p>
    <w:p w14:paraId="7C3E854A">
      <w:pPr>
        <w:numPr>
          <w:ilvl w:val="0"/>
          <w:numId w:val="8"/>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装货时间计算从船舶抵达指定的装货港锚地后起算，至装货作业完成时止；卸货时间计算从船舶抵达卸货港锚地后起算，至卸货作业完成时止。</w:t>
      </w:r>
    </w:p>
    <w:p w14:paraId="7B4A2A17">
      <w:pPr>
        <w:numPr>
          <w:ilvl w:val="0"/>
          <w:numId w:val="8"/>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未经甲方同意，乙方不能擅自撤船，船舶在装/卸两港如超过96小时则产生滞期，乙方将根据船舶装卸时间事实记录向甲方收取滞期费：人民币20000元/天，不足一天按比例计算。若到港三天未安排装货，视为货物落空，落空费为运费的30%（不可抗力原因、乙方原因、码头原因导致的除外），乙方抵达装货港后未经甲方同意擅自撤船离港，乙方需赔付甲方总运费的30%作为船舶落空补偿。如果乙方继续装货，超出装卸货总时间，则按滞期费约定执行。</w:t>
      </w:r>
    </w:p>
    <w:p w14:paraId="1AA8B927">
      <w:pPr>
        <w:numPr>
          <w:ilvl w:val="0"/>
          <w:numId w:val="8"/>
        </w:numPr>
        <w:spacing w:line="360" w:lineRule="exact"/>
        <w:jc w:val="lef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 xml:space="preserve">因乙方的原因延期到达装运港和卸货港，乙方也按滞期费标准支付延误费给甲方，不可抗力因素造成的延误除外。 </w:t>
      </w:r>
    </w:p>
    <w:p w14:paraId="359E4A44">
      <w:pPr>
        <w:snapToGrid w:val="0"/>
        <w:spacing w:line="360" w:lineRule="exact"/>
        <w:rPr>
          <w:rStyle w:val="43"/>
          <w:rFonts w:ascii="仿宋" w:hAnsi="仿宋" w:eastAsia="仿宋" w:cs="仿宋"/>
          <w:b/>
          <w:bCs/>
          <w:color w:val="auto"/>
          <w:spacing w:val="-6"/>
          <w:sz w:val="24"/>
          <w:szCs w:val="28"/>
          <w:highlight w:val="none"/>
        </w:rPr>
      </w:pPr>
      <w:r>
        <w:rPr>
          <w:rStyle w:val="43"/>
          <w:rFonts w:hint="eastAsia" w:ascii="仿宋" w:hAnsi="仿宋" w:eastAsia="仿宋" w:cs="仿宋"/>
          <w:b/>
          <w:bCs/>
          <w:color w:val="auto"/>
          <w:spacing w:val="-6"/>
          <w:sz w:val="24"/>
          <w:szCs w:val="28"/>
          <w:highlight w:val="none"/>
        </w:rPr>
        <w:t>第八条 货物的计量、质量及索赔：</w:t>
      </w:r>
    </w:p>
    <w:p w14:paraId="6DA927ED">
      <w:pPr>
        <w:numPr>
          <w:ilvl w:val="0"/>
          <w:numId w:val="9"/>
        </w:numPr>
        <w:spacing w:line="360" w:lineRule="exact"/>
        <w:jc w:val="left"/>
        <w:rPr>
          <w:rStyle w:val="43"/>
          <w:rFonts w:ascii="仿宋" w:hAnsi="仿宋" w:eastAsia="仿宋" w:cs="仿宋"/>
          <w:color w:val="auto"/>
          <w:kern w:val="0"/>
          <w:sz w:val="24"/>
          <w:highlight w:val="none"/>
        </w:rPr>
      </w:pPr>
      <w:r>
        <w:rPr>
          <w:rStyle w:val="43"/>
          <w:rFonts w:hint="eastAsia" w:ascii="仿宋" w:hAnsi="仿宋" w:eastAsia="仿宋" w:cs="仿宋"/>
          <w:color w:val="auto"/>
          <w:kern w:val="0"/>
          <w:sz w:val="24"/>
          <w:highlight w:val="none"/>
        </w:rPr>
        <w:t>乙方保证货物原装原卸，</w:t>
      </w:r>
      <w:r>
        <w:rPr>
          <w:rStyle w:val="43"/>
          <w:rFonts w:hint="eastAsia" w:ascii="仿宋" w:hAnsi="仿宋" w:eastAsia="仿宋" w:cs="仿宋"/>
          <w:color w:val="auto"/>
          <w:spacing w:val="-6"/>
          <w:sz w:val="24"/>
          <w:highlight w:val="none"/>
        </w:rPr>
        <w:t>装货港数量以岸罐数</w:t>
      </w:r>
      <w:r>
        <w:rPr>
          <w:rStyle w:val="43"/>
          <w:rFonts w:hint="eastAsia" w:ascii="仿宋" w:hAnsi="仿宋" w:eastAsia="仿宋" w:cs="仿宋"/>
          <w:color w:val="auto"/>
          <w:kern w:val="0"/>
          <w:sz w:val="24"/>
          <w:highlight w:val="none"/>
        </w:rPr>
        <w:t>为准；卸货港数量交接以岸罐数为准，货物正常损耗率不超过装货港确定货量的2‰，损耗内按发货港数量结算。</w:t>
      </w:r>
      <w:r>
        <w:rPr>
          <w:rStyle w:val="43"/>
          <w:rFonts w:hint="eastAsia" w:ascii="仿宋" w:hAnsi="仿宋" w:eastAsia="仿宋" w:cs="仿宋"/>
          <w:color w:val="auto"/>
          <w:sz w:val="24"/>
          <w:highlight w:val="none"/>
        </w:rPr>
        <w:t>因乙方或其船舶、船长、船员或其他雇用人员的过错，造成超过约定损耗的货物损毁、变质或灭失的，由乙方承担赔偿责任。货物损失的计算价格以托运人给收货人的贸易价格为准，甲方可以从运费中相应扣除。扣除运费不足以弥补甲方损失的，甲方有权继续予以追偿。</w:t>
      </w:r>
    </w:p>
    <w:p w14:paraId="589E729D">
      <w:pPr>
        <w:numPr>
          <w:ilvl w:val="0"/>
          <w:numId w:val="9"/>
        </w:numPr>
        <w:snapToGrid w:val="0"/>
        <w:spacing w:line="360" w:lineRule="exact"/>
        <w:rPr>
          <w:rStyle w:val="44"/>
          <w:rFonts w:ascii="仿宋" w:hAnsi="仿宋" w:eastAsia="仿宋" w:cs="仿宋"/>
          <w:color w:val="auto"/>
          <w:spacing w:val="-6"/>
          <w:sz w:val="24"/>
          <w:highlight w:val="none"/>
        </w:rPr>
      </w:pPr>
      <w:r>
        <w:rPr>
          <w:rStyle w:val="43"/>
          <w:rFonts w:hint="eastAsia" w:ascii="仿宋" w:hAnsi="仿宋" w:eastAsia="仿宋" w:cs="仿宋"/>
          <w:color w:val="auto"/>
          <w:sz w:val="24"/>
          <w:highlight w:val="none"/>
        </w:rPr>
        <w:t>装货时，甲方或商检在装货港会同船方共同对船舶所装货物进行抽样，并封存两瓶货样，一瓶交予甲方或指派的相关人员，一瓶由船方保存，目的港交货时，以此货样作为交货标准。卸货前，甲方会同船方再次封油样，确认所封油样与装货港油样指标相同方才卸油。</w:t>
      </w:r>
      <w:r>
        <w:rPr>
          <w:rStyle w:val="43"/>
          <w:rFonts w:hint="eastAsia" w:ascii="仿宋" w:hAnsi="仿宋" w:eastAsia="仿宋" w:cs="仿宋"/>
          <w:color w:val="auto"/>
          <w:spacing w:val="-6"/>
          <w:sz w:val="24"/>
          <w:szCs w:val="28"/>
          <w:highlight w:val="none"/>
        </w:rPr>
        <w:t>如发现货物存在质量问题而乙方又不能证明该质量问题是在装货前已存在或是因甲方、收货人的过错造成的，属乙方责任，由乙方负责赔偿损失。</w:t>
      </w:r>
    </w:p>
    <w:p w14:paraId="5697F160">
      <w:pPr>
        <w:numPr>
          <w:ilvl w:val="0"/>
          <w:numId w:val="9"/>
        </w:numPr>
        <w:snapToGrid w:val="0"/>
        <w:spacing w:line="360" w:lineRule="exact"/>
        <w:rPr>
          <w:rStyle w:val="43"/>
          <w:rFonts w:ascii="仿宋" w:hAnsi="仿宋" w:eastAsia="仿宋" w:cs="仿宋"/>
          <w:color w:val="auto"/>
          <w:spacing w:val="-6"/>
          <w:sz w:val="24"/>
          <w:szCs w:val="28"/>
          <w:highlight w:val="none"/>
        </w:rPr>
      </w:pPr>
      <w:r>
        <w:rPr>
          <w:rStyle w:val="43"/>
          <w:rFonts w:hint="eastAsia" w:ascii="仿宋" w:hAnsi="仿宋" w:eastAsia="仿宋" w:cs="仿宋"/>
          <w:color w:val="auto"/>
          <w:spacing w:val="-6"/>
          <w:sz w:val="24"/>
          <w:szCs w:val="28"/>
          <w:highlight w:val="none"/>
        </w:rPr>
        <w:t>乙方不负责不可抗力因素造成的甲方货物的损失，非不可抗力因素造成的甲方货物的损失，乙方要负责赔偿。</w:t>
      </w:r>
    </w:p>
    <w:p w14:paraId="19A887C1">
      <w:pPr>
        <w:numPr>
          <w:ilvl w:val="0"/>
          <w:numId w:val="9"/>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乙方应保证船舱、管线、货泵等可能与货物接触的设备清洁、干净、货舱充分冲洗后通风，没有残留的水分，适合装载本合同约定货物，并在装货前，甲方人员或第三方商检对载货舱情况进行检查，确认合格可装货，乙方才可装货。如因非甲方原因造成货品受污染，乙方应按照该批货物销售价格（含税）全额赔偿。</w:t>
      </w:r>
    </w:p>
    <w:p w14:paraId="754B383B">
      <w:pPr>
        <w:snapToGrid w:val="0"/>
        <w:spacing w:line="36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第九条 合同的变更和取消</w:t>
      </w:r>
    </w:p>
    <w:p w14:paraId="692625BF">
      <w:pPr>
        <w:numPr>
          <w:ilvl w:val="0"/>
          <w:numId w:val="10"/>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合同自双方盖章之日起生效，如某一方</w:t>
      </w:r>
      <w:r>
        <w:rPr>
          <w:rStyle w:val="43"/>
          <w:rFonts w:hint="eastAsia" w:ascii="仿宋" w:hAnsi="仿宋" w:eastAsia="仿宋" w:cs="仿宋"/>
          <w:color w:val="auto"/>
          <w:spacing w:val="-6"/>
          <w:sz w:val="24"/>
          <w:szCs w:val="28"/>
          <w:highlight w:val="none"/>
        </w:rPr>
        <w:t>无故</w:t>
      </w:r>
      <w:r>
        <w:rPr>
          <w:rStyle w:val="43"/>
          <w:rFonts w:hint="eastAsia" w:ascii="仿宋" w:hAnsi="仿宋" w:eastAsia="仿宋" w:cs="仿宋"/>
          <w:color w:val="auto"/>
          <w:sz w:val="24"/>
          <w:szCs w:val="28"/>
          <w:highlight w:val="none"/>
        </w:rPr>
        <w:t>提出</w:t>
      </w:r>
      <w:r>
        <w:rPr>
          <w:rStyle w:val="43"/>
          <w:rFonts w:hint="eastAsia" w:ascii="仿宋" w:hAnsi="仿宋" w:eastAsia="仿宋" w:cs="仿宋"/>
          <w:color w:val="auto"/>
          <w:sz w:val="24"/>
          <w:highlight w:val="none"/>
        </w:rPr>
        <w:t>取消合同</w:t>
      </w:r>
      <w:r>
        <w:rPr>
          <w:rStyle w:val="43"/>
          <w:rFonts w:hint="eastAsia" w:ascii="仿宋" w:hAnsi="仿宋" w:eastAsia="仿宋" w:cs="仿宋"/>
          <w:color w:val="auto"/>
          <w:sz w:val="24"/>
          <w:szCs w:val="28"/>
          <w:highlight w:val="none"/>
        </w:rPr>
        <w:t>，应提前通知另一方，取得另一方的同意并承担由此引起的另一方的损失。</w:t>
      </w:r>
    </w:p>
    <w:p w14:paraId="0DEF5685">
      <w:pPr>
        <w:numPr>
          <w:ilvl w:val="0"/>
          <w:numId w:val="10"/>
        </w:numPr>
        <w:snapToGrid w:val="0"/>
        <w:spacing w:line="360" w:lineRule="exact"/>
        <w:rPr>
          <w:rStyle w:val="43"/>
          <w:rFonts w:ascii="仿宋" w:hAnsi="仿宋" w:eastAsia="仿宋" w:cs="仿宋"/>
          <w:color w:val="auto"/>
          <w:sz w:val="24"/>
          <w:highlight w:val="none"/>
        </w:rPr>
      </w:pPr>
      <w:r>
        <w:rPr>
          <w:rStyle w:val="43"/>
          <w:rFonts w:hint="eastAsia" w:ascii="仿宋" w:hAnsi="仿宋" w:eastAsia="仿宋" w:cs="仿宋"/>
          <w:color w:val="auto"/>
          <w:sz w:val="24"/>
          <w:szCs w:val="28"/>
          <w:highlight w:val="none"/>
        </w:rPr>
        <w:t>货物委托乙方运输后，甲方需要变更到货地点或收货人，或取消托运时，有权向乙方提出变更合同内容或解除合同的要求。但必须在货物未装船之前（对取消托运而言）或货物未运抵目的地之前（对变更而言）通知乙方，并支付所产生的相关费用。但因</w:t>
      </w:r>
      <w:r>
        <w:rPr>
          <w:rStyle w:val="43"/>
          <w:rFonts w:hint="eastAsia" w:ascii="仿宋" w:hAnsi="仿宋" w:eastAsia="仿宋" w:cs="仿宋"/>
          <w:color w:val="auto"/>
          <w:sz w:val="24"/>
          <w:highlight w:val="none"/>
        </w:rPr>
        <w:t>船舶不适航、不适货等乙方原因造成的损失（包括但不限于托运取消、合同解除的损失或给甲方带来的损失等）由乙方负责赔偿。</w:t>
      </w:r>
    </w:p>
    <w:p w14:paraId="6F5619D8">
      <w:pPr>
        <w:snapToGrid w:val="0"/>
        <w:spacing w:line="36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第十条 甲、乙双方责任</w:t>
      </w:r>
    </w:p>
    <w:p w14:paraId="5166A6D7">
      <w:pPr>
        <w:numPr>
          <w:ilvl w:val="0"/>
          <w:numId w:val="11"/>
        </w:numPr>
        <w:snapToGrid w:val="0"/>
        <w:spacing w:line="360" w:lineRule="exact"/>
        <w:rPr>
          <w:rStyle w:val="43"/>
          <w:rFonts w:ascii="仿宋" w:hAnsi="仿宋" w:eastAsia="仿宋" w:cs="仿宋"/>
          <w:color w:val="auto"/>
          <w:sz w:val="24"/>
          <w:highlight w:val="none"/>
        </w:rPr>
      </w:pPr>
      <w:r>
        <w:rPr>
          <w:rStyle w:val="43"/>
          <w:rFonts w:hint="eastAsia" w:ascii="仿宋" w:hAnsi="仿宋" w:eastAsia="仿宋" w:cs="仿宋"/>
          <w:color w:val="auto"/>
          <w:sz w:val="24"/>
          <w:highlight w:val="none"/>
        </w:rPr>
        <w:t>甲方提供的货物与合同上规定的货物不相一致而造成乙方任何损失或损害的，由甲方负责赔偿。</w:t>
      </w:r>
    </w:p>
    <w:p w14:paraId="5D7725BC">
      <w:pPr>
        <w:numPr>
          <w:ilvl w:val="0"/>
          <w:numId w:val="11"/>
        </w:numPr>
        <w:snapToGrid w:val="0"/>
        <w:spacing w:line="360" w:lineRule="exact"/>
        <w:rPr>
          <w:rStyle w:val="43"/>
          <w:rFonts w:ascii="仿宋" w:hAnsi="仿宋" w:eastAsia="仿宋" w:cs="仿宋"/>
          <w:color w:val="auto"/>
          <w:sz w:val="24"/>
          <w:highlight w:val="none"/>
        </w:rPr>
      </w:pPr>
      <w:r>
        <w:rPr>
          <w:rStyle w:val="43"/>
          <w:rFonts w:hint="eastAsia" w:ascii="仿宋" w:hAnsi="仿宋" w:eastAsia="仿宋" w:cs="仿宋"/>
          <w:color w:val="auto"/>
          <w:sz w:val="24"/>
          <w:highlight w:val="none"/>
        </w:rPr>
        <w:t>乙方应具有危险品水路运输资质，同时应保证船舶适航适货，随船携带的证书有效、齐全，符合装载本航次运输货物的运输要求；船员配备齐全，船艺良好，持有有效的资质证书，并在装运货物第二日内提供本航次船舶的相关有效证件（含安检、航运、海事、许可证等），否则，由于证件不全所导致甲方的损失，由乙方负责。乙方应按照国家相关规定为船舶、船员配备安全防护设施和用品。</w:t>
      </w:r>
    </w:p>
    <w:p w14:paraId="2D22125B">
      <w:pPr>
        <w:numPr>
          <w:ilvl w:val="0"/>
          <w:numId w:val="11"/>
        </w:numPr>
        <w:snapToGrid w:val="0"/>
        <w:spacing w:line="360" w:lineRule="exact"/>
        <w:rPr>
          <w:rStyle w:val="43"/>
          <w:rFonts w:ascii="仿宋" w:hAnsi="仿宋" w:eastAsia="仿宋" w:cs="仿宋"/>
          <w:color w:val="auto"/>
          <w:sz w:val="24"/>
          <w:highlight w:val="none"/>
        </w:rPr>
      </w:pPr>
      <w:r>
        <w:rPr>
          <w:rStyle w:val="43"/>
          <w:rFonts w:hint="eastAsia" w:ascii="仿宋" w:hAnsi="仿宋" w:eastAsia="仿宋" w:cs="仿宋"/>
          <w:color w:val="auto"/>
          <w:sz w:val="24"/>
          <w:highlight w:val="none"/>
        </w:rPr>
        <w:t>乙方保证船舶符合承运货物的安全运输要求，在其责任期间内确保货物数量、安全和质量，如有超出合同约定的损耗范围的货差、因泄漏、污染、质量下降或其他原因造成的货物损失等（不可抗力除外），乙方应承担相应的责任并按损失货物的</w:t>
      </w:r>
      <w:r>
        <w:rPr>
          <w:rStyle w:val="43"/>
          <w:rFonts w:hint="eastAsia" w:ascii="仿宋" w:hAnsi="仿宋" w:eastAsia="仿宋" w:cs="仿宋"/>
          <w:color w:val="auto"/>
          <w:spacing w:val="-4"/>
          <w:sz w:val="24"/>
          <w:highlight w:val="none"/>
        </w:rPr>
        <w:t>市场销售价（含税）</w:t>
      </w:r>
      <w:r>
        <w:rPr>
          <w:rStyle w:val="43"/>
          <w:rFonts w:hint="eastAsia" w:ascii="仿宋" w:hAnsi="仿宋" w:eastAsia="仿宋" w:cs="仿宋"/>
          <w:color w:val="auto"/>
          <w:sz w:val="24"/>
          <w:highlight w:val="none"/>
        </w:rPr>
        <w:t>赔偿甲方损失。</w:t>
      </w:r>
    </w:p>
    <w:p w14:paraId="4EBD5F5C">
      <w:pPr>
        <w:numPr>
          <w:ilvl w:val="0"/>
          <w:numId w:val="11"/>
        </w:numPr>
        <w:spacing w:line="360" w:lineRule="exact"/>
        <w:rPr>
          <w:rStyle w:val="43"/>
          <w:rFonts w:ascii="仿宋" w:hAnsi="仿宋" w:eastAsia="仿宋" w:cs="仿宋"/>
          <w:color w:val="auto"/>
          <w:sz w:val="24"/>
          <w:highlight w:val="none"/>
        </w:rPr>
      </w:pPr>
      <w:r>
        <w:rPr>
          <w:rStyle w:val="43"/>
          <w:rFonts w:hint="eastAsia" w:ascii="仿宋" w:hAnsi="仿宋" w:eastAsia="仿宋" w:cs="仿宋"/>
          <w:bCs/>
          <w:color w:val="auto"/>
          <w:kern w:val="0"/>
          <w:sz w:val="24"/>
          <w:highlight w:val="none"/>
        </w:rPr>
        <w:t>乙方全面负责维护船舶、保证船舶安全及对船舶进行安全管理，与船舶及所载货物有关的全部安全问题， 包括但不限于航行区域、装卸港口、码头、泊位及其它与船舶的航行、作业、停泊、锚泊有关的安全问题，均由乙方负责。</w:t>
      </w:r>
      <w:r>
        <w:rPr>
          <w:rStyle w:val="43"/>
          <w:rFonts w:hint="eastAsia" w:ascii="仿宋" w:hAnsi="仿宋" w:eastAsia="仿宋" w:cs="仿宋"/>
          <w:color w:val="auto"/>
          <w:sz w:val="24"/>
          <w:highlight w:val="none"/>
        </w:rPr>
        <w:t>乙方应督促船舶遵守国家相关的安全法规，开展船舶安全检查，排除隐患，承担因乙方原因造成的一切安全事故的责任和损失。</w:t>
      </w:r>
    </w:p>
    <w:p w14:paraId="79C44C1D">
      <w:pPr>
        <w:numPr>
          <w:ilvl w:val="0"/>
          <w:numId w:val="11"/>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如因乙方原因将货品错运到货地点或接货人，乙方应无偿运至合同规定的到货地点或接货人。</w:t>
      </w:r>
    </w:p>
    <w:p w14:paraId="26B80CE2">
      <w:pPr>
        <w:numPr>
          <w:ilvl w:val="0"/>
          <w:numId w:val="11"/>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由于自然灾害或意外事故造成无法准时提货或货物无法准时到达，乙方必须及时通知甲方，由双方共同协商解决。</w:t>
      </w:r>
    </w:p>
    <w:p w14:paraId="761CBEE1">
      <w:pPr>
        <w:numPr>
          <w:ilvl w:val="0"/>
          <w:numId w:val="11"/>
        </w:numPr>
        <w:spacing w:line="360" w:lineRule="exact"/>
        <w:rPr>
          <w:rStyle w:val="43"/>
          <w:rFonts w:ascii="仿宋" w:hAnsi="仿宋" w:eastAsia="仿宋" w:cs="仿宋"/>
          <w:color w:val="auto"/>
          <w:sz w:val="24"/>
          <w:highlight w:val="none"/>
        </w:rPr>
      </w:pPr>
      <w:r>
        <w:rPr>
          <w:rStyle w:val="43"/>
          <w:rFonts w:hint="eastAsia" w:ascii="仿宋" w:hAnsi="仿宋" w:eastAsia="仿宋" w:cs="仿宋"/>
          <w:bCs/>
          <w:color w:val="auto"/>
          <w:kern w:val="0"/>
          <w:sz w:val="24"/>
          <w:highlight w:val="none"/>
        </w:rPr>
        <w:t>甲方货物进入乙方运输载体后直至到达目的港卸货完毕整个过程和由于乙方原因造成的装卸过程中的安全、环保、数量、质量责任由乙方负责。如发生意外事故，除及时采取应急措施外，必须在1小时内报告甲方,并随后向甲方提供相应的分析报告，且乙方承担全部责任。</w:t>
      </w:r>
    </w:p>
    <w:p w14:paraId="6B6FF424">
      <w:pPr>
        <w:numPr>
          <w:ilvl w:val="0"/>
          <w:numId w:val="11"/>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bCs/>
          <w:color w:val="auto"/>
          <w:kern w:val="0"/>
          <w:sz w:val="24"/>
          <w:highlight w:val="none"/>
        </w:rPr>
        <w:t>船舶出现海损事故或者因被扣押、滞留或其他原因不能及时开航时，乙方应在事故发生后立即通知甲方，并按甲方要求积极安排货物转运，乙方不得拒绝或不安排货物转运。</w:t>
      </w:r>
    </w:p>
    <w:p w14:paraId="29C2AC27">
      <w:pPr>
        <w:numPr>
          <w:ilvl w:val="0"/>
          <w:numId w:val="11"/>
        </w:numPr>
        <w:snapToGrid w:val="0"/>
        <w:spacing w:line="360" w:lineRule="exact"/>
        <w:rPr>
          <w:rStyle w:val="43"/>
          <w:rFonts w:ascii="仿宋" w:hAnsi="仿宋" w:eastAsia="仿宋" w:cs="仿宋"/>
          <w:bCs/>
          <w:color w:val="auto"/>
          <w:sz w:val="24"/>
          <w:highlight w:val="none"/>
        </w:rPr>
      </w:pPr>
      <w:r>
        <w:rPr>
          <w:rStyle w:val="43"/>
          <w:rFonts w:hint="eastAsia" w:ascii="仿宋" w:hAnsi="仿宋" w:eastAsia="仿宋" w:cs="仿宋"/>
          <w:bCs/>
          <w:color w:val="auto"/>
          <w:sz w:val="24"/>
          <w:highlight w:val="none"/>
        </w:rPr>
        <w:t>乙方应遵守甲方HSE相关规定，保证承运船舶符合国家有关职业健康安全和环境各方面的法律法规的规定，达到相应的环境保护及安全要求。</w:t>
      </w:r>
      <w:r>
        <w:rPr>
          <w:rStyle w:val="43"/>
          <w:rFonts w:hint="eastAsia" w:ascii="仿宋" w:hAnsi="仿宋" w:eastAsia="仿宋" w:cs="仿宋"/>
          <w:color w:val="auto"/>
          <w:spacing w:val="-2"/>
          <w:kern w:val="0"/>
          <w:sz w:val="24"/>
          <w:highlight w:val="none"/>
        </w:rPr>
        <w:t>乙方应负责对货品运输进行危害识别和风险评价，提供与风险相适应的安全防护用具和防护措施，确保人员和货物运输安全。</w:t>
      </w:r>
      <w:r>
        <w:rPr>
          <w:rStyle w:val="43"/>
          <w:rFonts w:hint="eastAsia" w:ascii="仿宋" w:hAnsi="仿宋" w:eastAsia="仿宋" w:cs="仿宋"/>
          <w:bCs/>
          <w:color w:val="auto"/>
          <w:sz w:val="24"/>
          <w:highlight w:val="none"/>
        </w:rPr>
        <w:t>乙方船舶或人员要服从甲方现场人员的管理和指挥，还应制定运输过程中突发事件应急预案，以便最大限度地降低风险。同时，乙方应建立培训教育制度，对参与合同有关工作的操作人员进行职业健康、安全和环境培训教育，确保只有经考核合格、具有相关技能的人员方能参与合同规定的工作。另外，乙方应服从甲方的HSE监督管理，接受甲方的职业健康安全和环境检查，对存在的职业健康安全和环境隐患及时进行整改，防止事故发生，发生违章行为时要接受甲方的处罚。</w:t>
      </w:r>
    </w:p>
    <w:p w14:paraId="0043FD49">
      <w:pPr>
        <w:numPr>
          <w:ilvl w:val="0"/>
          <w:numId w:val="11"/>
        </w:numPr>
        <w:snapToGrid w:val="0"/>
        <w:spacing w:line="360" w:lineRule="exact"/>
        <w:rPr>
          <w:rStyle w:val="43"/>
          <w:rFonts w:ascii="仿宋" w:hAnsi="仿宋" w:eastAsia="仿宋" w:cs="仿宋"/>
          <w:color w:val="auto"/>
          <w:sz w:val="24"/>
          <w:highlight w:val="none"/>
        </w:rPr>
      </w:pPr>
      <w:r>
        <w:rPr>
          <w:rStyle w:val="43"/>
          <w:rFonts w:hint="eastAsia" w:ascii="仿宋" w:hAnsi="仿宋" w:eastAsia="仿宋" w:cs="仿宋"/>
          <w:color w:val="auto"/>
          <w:spacing w:val="-2"/>
          <w:kern w:val="0"/>
          <w:sz w:val="24"/>
          <w:highlight w:val="none"/>
        </w:rPr>
        <w:t>乙方应</w:t>
      </w:r>
      <w:r>
        <w:rPr>
          <w:rStyle w:val="43"/>
          <w:rFonts w:hint="eastAsia" w:ascii="仿宋" w:hAnsi="仿宋" w:eastAsia="仿宋" w:cs="仿宋"/>
          <w:bCs/>
          <w:color w:val="auto"/>
          <w:sz w:val="24"/>
          <w:highlight w:val="none"/>
        </w:rPr>
        <w:t>配合甲方执行质量、职业健康安全和环境管理方针，实现职业健康安全和环境目标/指标。其中甲方的质量、职业健康安全和环境管理方针是：准确及时，文明周到，为客户提供满意的业务服务；以人为本，和谐发展，为员工创造安全的工作环境；预防污染，节能减排，为社会保护绿色的自然生态；遵纪守法，持续改进，做主动承担企业责任的典范。甲方的职业健康安全目标指标：①火灾、爆炸事故为零；②因公重伤、死亡事故为零；③道路交通重、特大责任事故为零；④对员工健康有影响的岗位特种劳动防护用品配备率为100%；⑤消防设施投用率达到100%；⑥防抗热带气旋等自然灾害的成功率为100%。甲方的环境目标指标包括化学品泄漏污染环境事故为零等。</w:t>
      </w:r>
    </w:p>
    <w:p w14:paraId="0FE5C4F8">
      <w:pPr>
        <w:numPr>
          <w:ilvl w:val="0"/>
          <w:numId w:val="11"/>
        </w:numPr>
        <w:snapToGrid w:val="0"/>
        <w:spacing w:line="360" w:lineRule="exact"/>
        <w:rPr>
          <w:rStyle w:val="43"/>
          <w:rFonts w:ascii="仿宋" w:hAnsi="仿宋" w:eastAsia="仿宋" w:cs="仿宋"/>
          <w:bCs/>
          <w:color w:val="auto"/>
          <w:sz w:val="24"/>
          <w:highlight w:val="none"/>
        </w:rPr>
      </w:pPr>
      <w:r>
        <w:rPr>
          <w:rStyle w:val="43"/>
          <w:rFonts w:hint="eastAsia" w:ascii="仿宋" w:hAnsi="仿宋" w:eastAsia="仿宋" w:cs="仿宋"/>
          <w:bCs/>
          <w:color w:val="auto"/>
          <w:sz w:val="24"/>
          <w:highlight w:val="none"/>
        </w:rPr>
        <w:t>乙方不得留置甲方托运的货物。</w:t>
      </w:r>
    </w:p>
    <w:p w14:paraId="618FFA98">
      <w:pPr>
        <w:numPr>
          <w:ilvl w:val="0"/>
          <w:numId w:val="11"/>
        </w:numPr>
        <w:snapToGrid w:val="0"/>
        <w:spacing w:line="360" w:lineRule="exact"/>
        <w:rPr>
          <w:rStyle w:val="43"/>
          <w:rFonts w:ascii="仿宋" w:hAnsi="仿宋" w:eastAsia="仿宋" w:cs="仿宋"/>
          <w:bCs/>
          <w:color w:val="auto"/>
          <w:sz w:val="24"/>
          <w:highlight w:val="none"/>
        </w:rPr>
      </w:pPr>
      <w:r>
        <w:rPr>
          <w:rStyle w:val="43"/>
          <w:rFonts w:hint="eastAsia" w:ascii="仿宋" w:hAnsi="仿宋" w:eastAsia="仿宋" w:cs="仿宋"/>
          <w:bCs/>
          <w:color w:val="auto"/>
          <w:sz w:val="24"/>
          <w:highlight w:val="none"/>
        </w:rPr>
        <w:t>任何一方违反合同的义务给其他守约方造成的损失，违约方应当立即停止违约行为，并承担赔偿损失责任，支付守约方为追索权利而支出直接或者间接损失，包括不限于诉讼费、保全费、评估费、鉴定费、调查费、公证费、律师费，以及向第三方支付的赔偿、为应对第三方指控而支付的一切费用。</w:t>
      </w:r>
    </w:p>
    <w:p w14:paraId="597E5C7E">
      <w:pPr>
        <w:snapToGrid w:val="0"/>
        <w:spacing w:line="36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第十一条 不可抗力</w:t>
      </w:r>
    </w:p>
    <w:p w14:paraId="349100A1">
      <w:pPr>
        <w:spacing w:line="360" w:lineRule="exact"/>
        <w:ind w:firstLine="480" w:firstLineChars="200"/>
        <w:jc w:val="left"/>
        <w:rPr>
          <w:rStyle w:val="43"/>
          <w:rFonts w:ascii="仿宋" w:hAnsi="仿宋" w:eastAsia="仿宋" w:cs="仿宋"/>
          <w:color w:val="auto"/>
          <w:sz w:val="24"/>
          <w:highlight w:val="none"/>
        </w:rPr>
      </w:pPr>
      <w:r>
        <w:rPr>
          <w:rStyle w:val="43"/>
          <w:rFonts w:hint="eastAsia" w:ascii="仿宋" w:hAnsi="仿宋" w:eastAsia="仿宋" w:cs="仿宋"/>
          <w:color w:val="auto"/>
          <w:sz w:val="24"/>
          <w:highlight w:val="none"/>
        </w:rPr>
        <w:t>“不可抗力”是指一方不能控制的、导致该方不能履行其在本合同项下义务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p>
    <w:p w14:paraId="0B9234DD">
      <w:pPr>
        <w:spacing w:line="360" w:lineRule="exact"/>
        <w:ind w:firstLine="480" w:firstLineChars="200"/>
        <w:jc w:val="left"/>
        <w:rPr>
          <w:rStyle w:val="43"/>
          <w:rFonts w:ascii="仿宋" w:hAnsi="仿宋" w:eastAsia="仿宋" w:cs="仿宋"/>
          <w:color w:val="auto"/>
          <w:sz w:val="24"/>
          <w:highlight w:val="none"/>
        </w:rPr>
      </w:pPr>
      <w:r>
        <w:rPr>
          <w:rStyle w:val="43"/>
          <w:rFonts w:hint="eastAsia" w:ascii="仿宋" w:hAnsi="仿宋" w:eastAsia="仿宋" w:cs="仿宋"/>
          <w:color w:val="auto"/>
          <w:sz w:val="24"/>
          <w:highlight w:val="none"/>
        </w:rPr>
        <w:t>一方因遭受不可抗力而不能全部或部分履行其在本合同项下的任何义务，应通知另一方不可抗力的存在，且应在不可抗力事件发生后7日内，向另一方提供遭受该等不可抗力的书面证明，并附上有关当局的证明或公开发布的消息，证明事实真相和所提供的材料的准确性。如遭受不可抗力的一方在上述时限内提供书面证明确有困难，应当在5日内书面通知另一方，并说明原因。声称不可抗力的一方有举证责任，证明不可抗力与未履行本合同规定的该方义务有直接关系。</w:t>
      </w:r>
    </w:p>
    <w:p w14:paraId="0FD82BFC">
      <w:pPr>
        <w:snapToGrid w:val="0"/>
        <w:spacing w:line="360" w:lineRule="exact"/>
        <w:ind w:firstLine="480" w:firstLineChars="200"/>
        <w:rPr>
          <w:rStyle w:val="43"/>
          <w:rFonts w:ascii="仿宋" w:hAnsi="仿宋" w:eastAsia="仿宋" w:cs="仿宋"/>
          <w:color w:val="auto"/>
          <w:sz w:val="24"/>
          <w:highlight w:val="none"/>
        </w:rPr>
      </w:pPr>
      <w:r>
        <w:rPr>
          <w:rStyle w:val="43"/>
          <w:rFonts w:hint="eastAsia" w:ascii="仿宋" w:hAnsi="仿宋" w:eastAsia="仿宋" w:cs="仿宋"/>
          <w:color w:val="auto"/>
          <w:sz w:val="24"/>
          <w:highlight w:val="none"/>
        </w:rPr>
        <w:t>上述不可抗力因素消除后，可能继续履行的，甲乙双方应在具备履行条件时恢复合同履行；相关因素导致本合同未来不具有继续履行可能性、可行性或必要性的，甲乙双方可在确定项目不可继续履行之日起5日内，友好协商解除本合同，任何一方无须因不可抗力未能或延迟履行其义务，而对另一方可能蒙受的任何损害、费用增加或损失承担责任，且该等未履行或延迟履行不应被视为对本合同的违约。本合同规定的所有其他义务及其履行时间不应受此影响。</w:t>
      </w:r>
    </w:p>
    <w:p w14:paraId="1EFBFE34">
      <w:pPr>
        <w:snapToGrid w:val="0"/>
        <w:spacing w:line="36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第十二条 保密条款</w:t>
      </w:r>
    </w:p>
    <w:p w14:paraId="07352003">
      <w:pPr>
        <w:snapToGrid w:val="0"/>
        <w:spacing w:line="360" w:lineRule="exact"/>
        <w:ind w:firstLine="638" w:firstLineChars="266"/>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相关记忆装置中删除任何该等保密信息，并且不得继续使用这些保密信息。</w:t>
      </w:r>
    </w:p>
    <w:p w14:paraId="0B2C511B">
      <w:pPr>
        <w:snapToGrid w:val="0"/>
        <w:spacing w:line="36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第十三条  通知与送达</w:t>
      </w:r>
    </w:p>
    <w:p w14:paraId="3F624603">
      <w:pPr>
        <w:snapToGrid w:val="0"/>
        <w:spacing w:line="360" w:lineRule="exact"/>
        <w:ind w:firstLine="420" w:firstLineChars="175"/>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所有与合同有关的通知和通讯（包含司法文书送达）等相关文件应使用以下联系方式：</w:t>
      </w:r>
    </w:p>
    <w:p w14:paraId="156DBE1B">
      <w:pPr>
        <w:numPr>
          <w:ilvl w:val="0"/>
          <w:numId w:val="12"/>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甲方：海南洋浦陆海能源发展有限公司</w:t>
      </w:r>
    </w:p>
    <w:p w14:paraId="1C791B2A">
      <w:pPr>
        <w:snapToGrid w:val="0"/>
        <w:spacing w:line="360" w:lineRule="exact"/>
        <w:ind w:firstLine="480" w:firstLineChars="200"/>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 xml:space="preserve">电子邮箱： </w:t>
      </w:r>
    </w:p>
    <w:p w14:paraId="008D685F">
      <w:pPr>
        <w:snapToGrid w:val="0"/>
        <w:spacing w:line="360" w:lineRule="exact"/>
        <w:ind w:firstLine="480" w:firstLineChars="200"/>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 xml:space="preserve">联系人：符永斌     联系方式：18389272329   微信号：bin381772501     </w:t>
      </w:r>
    </w:p>
    <w:p w14:paraId="52A9A115">
      <w:pPr>
        <w:numPr>
          <w:ilvl w:val="0"/>
          <w:numId w:val="12"/>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乙方：</w:t>
      </w:r>
    </w:p>
    <w:p w14:paraId="173D494C">
      <w:pPr>
        <w:snapToGrid w:val="0"/>
        <w:spacing w:line="360" w:lineRule="exact"/>
        <w:ind w:firstLine="480" w:firstLineChars="200"/>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 xml:space="preserve">电子邮箱： </w:t>
      </w:r>
    </w:p>
    <w:p w14:paraId="577FCF87">
      <w:pPr>
        <w:snapToGrid w:val="0"/>
        <w:spacing w:line="360" w:lineRule="exact"/>
        <w:ind w:firstLine="480" w:firstLineChars="200"/>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 xml:space="preserve">联系人：           联系方式：              微信号：   </w:t>
      </w:r>
    </w:p>
    <w:p w14:paraId="792503D3">
      <w:pPr>
        <w:snapToGrid w:val="0"/>
        <w:spacing w:line="360" w:lineRule="exact"/>
        <w:ind w:firstLine="420" w:firstLineChars="175"/>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所有有关本合同的通知、要求、请求、建议等相关文件，在送达对方地址或指定联系人后即视为已递交。以电子邮件方式送达的，在一方的电子邮件发出当日后即视为送达日；以邮寄方式送达的，在一方快递签收后的次日视为送达日；以微信方式送达的，在发送成功时即视为送达。</w:t>
      </w:r>
    </w:p>
    <w:p w14:paraId="4205D12F">
      <w:pPr>
        <w:snapToGrid w:val="0"/>
        <w:spacing w:line="360" w:lineRule="exact"/>
        <w:ind w:firstLine="420" w:firstLineChars="175"/>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任何一方通讯地址、联系方式或电子邮箱如有变更的，应在变更之日起24小时内书面通知对方。如未给对方以变更通知，则本合同载明的联系方式视为有效。</w:t>
      </w:r>
    </w:p>
    <w:p w14:paraId="040311F4">
      <w:pPr>
        <w:numPr>
          <w:ilvl w:val="0"/>
          <w:numId w:val="13"/>
        </w:numPr>
        <w:snapToGrid w:val="0"/>
        <w:spacing w:line="36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争议的解决</w:t>
      </w:r>
    </w:p>
    <w:p w14:paraId="57381418">
      <w:pPr>
        <w:snapToGrid w:val="0"/>
        <w:spacing w:line="360" w:lineRule="exact"/>
        <w:ind w:firstLine="420" w:firstLineChars="175"/>
        <w:rPr>
          <w:rStyle w:val="43"/>
          <w:rFonts w:ascii="仿宋" w:hAnsi="仿宋" w:eastAsia="仿宋" w:cs="仿宋"/>
          <w:color w:val="auto"/>
          <w:sz w:val="24"/>
          <w:highlight w:val="none"/>
        </w:rPr>
      </w:pPr>
      <w:r>
        <w:rPr>
          <w:rStyle w:val="43"/>
          <w:rFonts w:hint="eastAsia" w:ascii="仿宋" w:hAnsi="仿宋" w:eastAsia="仿宋" w:cs="仿宋"/>
          <w:color w:val="auto"/>
          <w:sz w:val="24"/>
          <w:szCs w:val="28"/>
          <w:highlight w:val="none"/>
        </w:rPr>
        <w:t>合同执行过程中发生争议时，由双方友好协商解决，协商不成时，</w:t>
      </w:r>
      <w:r>
        <w:rPr>
          <w:rStyle w:val="43"/>
          <w:rFonts w:hint="eastAsia" w:ascii="仿宋" w:hAnsi="仿宋" w:eastAsia="仿宋" w:cs="仿宋"/>
          <w:color w:val="auto"/>
          <w:sz w:val="24"/>
          <w:highlight w:val="none"/>
        </w:rPr>
        <w:t xml:space="preserve">起诉方可向甲方所在地人民法院提起诉讼。 </w:t>
      </w:r>
    </w:p>
    <w:p w14:paraId="2797CA69">
      <w:pPr>
        <w:snapToGrid w:val="0"/>
        <w:spacing w:line="360" w:lineRule="exact"/>
        <w:rPr>
          <w:rStyle w:val="43"/>
          <w:rFonts w:ascii="仿宋" w:hAnsi="仿宋" w:eastAsia="仿宋" w:cs="仿宋"/>
          <w:b/>
          <w:bCs/>
          <w:color w:val="auto"/>
          <w:sz w:val="24"/>
          <w:szCs w:val="28"/>
          <w:highlight w:val="none"/>
        </w:rPr>
      </w:pPr>
      <w:r>
        <w:rPr>
          <w:rStyle w:val="43"/>
          <w:rFonts w:hint="eastAsia" w:ascii="仿宋" w:hAnsi="仿宋" w:eastAsia="仿宋" w:cs="仿宋"/>
          <w:b/>
          <w:bCs/>
          <w:color w:val="auto"/>
          <w:sz w:val="24"/>
          <w:szCs w:val="28"/>
          <w:highlight w:val="none"/>
        </w:rPr>
        <w:t>第十五条 合同的生效及其他事项</w:t>
      </w:r>
    </w:p>
    <w:p w14:paraId="7022EFB5">
      <w:pPr>
        <w:numPr>
          <w:ilvl w:val="0"/>
          <w:numId w:val="14"/>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本合同自双方法定代表人或授权代表签字并加盖公章之日起生效。</w:t>
      </w:r>
    </w:p>
    <w:p w14:paraId="536CA7BB">
      <w:pPr>
        <w:numPr>
          <w:ilvl w:val="0"/>
          <w:numId w:val="14"/>
        </w:numPr>
        <w:snapToGrid w:val="0"/>
        <w:spacing w:line="360" w:lineRule="exact"/>
        <w:rPr>
          <w:rStyle w:val="43"/>
          <w:rFonts w:ascii="仿宋" w:hAnsi="仿宋" w:eastAsia="仿宋" w:cs="仿宋"/>
          <w:color w:val="auto"/>
          <w:sz w:val="24"/>
          <w:szCs w:val="28"/>
          <w:highlight w:val="none"/>
        </w:rPr>
      </w:pPr>
      <w:r>
        <w:rPr>
          <w:rStyle w:val="43"/>
          <w:rFonts w:hint="eastAsia" w:ascii="仿宋" w:hAnsi="仿宋" w:eastAsia="仿宋" w:cs="仿宋"/>
          <w:color w:val="auto"/>
          <w:sz w:val="24"/>
          <w:szCs w:val="28"/>
          <w:highlight w:val="none"/>
        </w:rPr>
        <w:t>本合同一式两份，甲、乙双方各执一份。正本收到前传真件或扫描件具有同等法律效力。</w:t>
      </w:r>
    </w:p>
    <w:p w14:paraId="4A936B75">
      <w:pPr>
        <w:numPr>
          <w:ilvl w:val="0"/>
          <w:numId w:val="14"/>
        </w:numPr>
        <w:snapToGrid w:val="0"/>
        <w:spacing w:line="360" w:lineRule="exact"/>
        <w:rPr>
          <w:rStyle w:val="43"/>
          <w:rFonts w:ascii="仿宋" w:hAnsi="仿宋" w:eastAsia="仿宋" w:cs="仿宋"/>
          <w:color w:val="auto"/>
          <w:sz w:val="24"/>
          <w:szCs w:val="28"/>
          <w:highlight w:val="none"/>
        </w:rPr>
      </w:pPr>
      <w:r>
        <w:rPr>
          <w:rFonts w:hint="eastAsia" w:ascii="仿宋" w:hAnsi="仿宋" w:eastAsia="仿宋" w:cs="仿宋"/>
          <w:color w:val="auto"/>
          <w:sz w:val="24"/>
          <w:szCs w:val="24"/>
          <w:highlight w:val="none"/>
        </w:rPr>
        <w:t>本合同履行过程中，</w:t>
      </w:r>
      <w:r>
        <w:rPr>
          <w:rFonts w:hint="eastAsia" w:ascii="仿宋" w:hAnsi="仿宋" w:eastAsia="仿宋" w:cs="仿宋"/>
          <w:color w:val="auto"/>
          <w:sz w:val="24"/>
          <w:szCs w:val="24"/>
          <w:highlight w:val="none"/>
          <w:lang w:val="en-US" w:eastAsia="zh-CN"/>
        </w:rPr>
        <w:t>如有</w:t>
      </w:r>
      <w:r>
        <w:rPr>
          <w:rStyle w:val="43"/>
          <w:rFonts w:hint="eastAsia" w:ascii="仿宋" w:hAnsi="仿宋" w:eastAsia="仿宋" w:cs="仿宋"/>
          <w:color w:val="auto"/>
          <w:sz w:val="24"/>
          <w:szCs w:val="28"/>
          <w:highlight w:val="none"/>
        </w:rPr>
        <w:t>未尽事宜，双方</w:t>
      </w:r>
      <w:r>
        <w:rPr>
          <w:rStyle w:val="43"/>
          <w:rFonts w:hint="eastAsia" w:ascii="仿宋" w:hAnsi="仿宋" w:eastAsia="仿宋" w:cs="仿宋"/>
          <w:color w:val="auto"/>
          <w:sz w:val="24"/>
          <w:szCs w:val="28"/>
          <w:highlight w:val="none"/>
          <w:lang w:val="en-US" w:eastAsia="zh-CN"/>
        </w:rPr>
        <w:t>另行</w:t>
      </w:r>
      <w:r>
        <w:rPr>
          <w:rStyle w:val="43"/>
          <w:rFonts w:hint="eastAsia" w:ascii="仿宋" w:hAnsi="仿宋" w:eastAsia="仿宋" w:cs="仿宋"/>
          <w:color w:val="auto"/>
          <w:sz w:val="24"/>
          <w:szCs w:val="28"/>
          <w:highlight w:val="none"/>
        </w:rPr>
        <w:t>协商</w:t>
      </w:r>
      <w:r>
        <w:rPr>
          <w:rStyle w:val="43"/>
          <w:rFonts w:hint="eastAsia" w:ascii="仿宋" w:hAnsi="仿宋" w:eastAsia="仿宋" w:cs="仿宋"/>
          <w:color w:val="auto"/>
          <w:sz w:val="24"/>
          <w:szCs w:val="28"/>
          <w:highlight w:val="none"/>
          <w:lang w:val="en-US" w:eastAsia="zh-CN"/>
        </w:rPr>
        <w:t>确定，并</w:t>
      </w:r>
      <w:r>
        <w:rPr>
          <w:rStyle w:val="43"/>
          <w:rFonts w:hint="eastAsia" w:ascii="仿宋" w:hAnsi="仿宋" w:eastAsia="仿宋" w:cs="仿宋"/>
          <w:color w:val="auto"/>
          <w:sz w:val="24"/>
          <w:szCs w:val="28"/>
          <w:highlight w:val="none"/>
        </w:rPr>
        <w:t>签订</w:t>
      </w:r>
      <w:r>
        <w:rPr>
          <w:rStyle w:val="43"/>
          <w:rFonts w:hint="eastAsia" w:ascii="仿宋" w:hAnsi="仿宋" w:eastAsia="仿宋" w:cs="仿宋"/>
          <w:color w:val="auto"/>
          <w:sz w:val="24"/>
          <w:szCs w:val="28"/>
          <w:highlight w:val="none"/>
          <w:lang w:val="en-US" w:eastAsia="zh-CN"/>
        </w:rPr>
        <w:t>书面</w:t>
      </w:r>
      <w:r>
        <w:rPr>
          <w:rStyle w:val="43"/>
          <w:rFonts w:hint="eastAsia" w:ascii="仿宋" w:hAnsi="仿宋" w:eastAsia="仿宋" w:cs="仿宋"/>
          <w:color w:val="auto"/>
          <w:sz w:val="24"/>
          <w:szCs w:val="28"/>
          <w:highlight w:val="none"/>
        </w:rPr>
        <w:t>补充协议</w:t>
      </w:r>
      <w:r>
        <w:rPr>
          <w:rStyle w:val="43"/>
          <w:rFonts w:hint="eastAsia" w:ascii="仿宋" w:hAnsi="仿宋" w:eastAsia="仿宋" w:cs="仿宋"/>
          <w:color w:val="auto"/>
          <w:sz w:val="24"/>
          <w:szCs w:val="28"/>
          <w:highlight w:val="none"/>
          <w:lang w:eastAsia="zh-CN"/>
        </w:rPr>
        <w:t>，</w:t>
      </w:r>
      <w:r>
        <w:rPr>
          <w:rStyle w:val="43"/>
          <w:rFonts w:hint="eastAsia" w:ascii="仿宋" w:hAnsi="仿宋" w:eastAsia="仿宋" w:cs="仿宋"/>
          <w:color w:val="auto"/>
          <w:sz w:val="24"/>
          <w:szCs w:val="28"/>
          <w:highlight w:val="none"/>
        </w:rPr>
        <w:t>补充协议与本合同具有</w:t>
      </w:r>
      <w:r>
        <w:rPr>
          <w:rStyle w:val="43"/>
          <w:rFonts w:hint="eastAsia" w:ascii="仿宋" w:hAnsi="仿宋" w:eastAsia="仿宋" w:cs="仿宋"/>
          <w:color w:val="auto"/>
          <w:sz w:val="24"/>
          <w:szCs w:val="28"/>
          <w:highlight w:val="none"/>
          <w:lang w:val="en-US" w:eastAsia="zh-CN"/>
        </w:rPr>
        <w:t>同等</w:t>
      </w:r>
      <w:r>
        <w:rPr>
          <w:rStyle w:val="43"/>
          <w:rFonts w:hint="eastAsia" w:ascii="仿宋" w:hAnsi="仿宋" w:eastAsia="仿宋" w:cs="仿宋"/>
          <w:color w:val="auto"/>
          <w:sz w:val="24"/>
          <w:szCs w:val="28"/>
          <w:highlight w:val="none"/>
        </w:rPr>
        <w:t>的法律效力，</w:t>
      </w:r>
      <w:r>
        <w:rPr>
          <w:rFonts w:hint="eastAsia" w:ascii="仿宋" w:hAnsi="仿宋" w:eastAsia="仿宋" w:cs="仿宋"/>
          <w:color w:val="auto"/>
          <w:sz w:val="24"/>
          <w:szCs w:val="24"/>
          <w:highlight w:val="none"/>
        </w:rPr>
        <w:t>本合同所有附件</w:t>
      </w:r>
      <w:r>
        <w:rPr>
          <w:rFonts w:hint="eastAsia" w:ascii="仿宋" w:hAnsi="仿宋" w:eastAsia="仿宋" w:cs="仿宋"/>
          <w:color w:val="auto"/>
          <w:sz w:val="24"/>
          <w:szCs w:val="24"/>
          <w:highlight w:val="none"/>
          <w:lang w:val="en-US" w:eastAsia="zh-CN"/>
        </w:rPr>
        <w:t>均为</w:t>
      </w:r>
      <w:r>
        <w:rPr>
          <w:rStyle w:val="43"/>
          <w:rFonts w:hint="eastAsia" w:ascii="仿宋" w:hAnsi="仿宋" w:eastAsia="仿宋" w:cs="仿宋"/>
          <w:color w:val="auto"/>
          <w:sz w:val="24"/>
          <w:szCs w:val="28"/>
          <w:highlight w:val="none"/>
        </w:rPr>
        <w:t>本合同不可分割的组成部分。</w:t>
      </w:r>
    </w:p>
    <w:p w14:paraId="3D4E27FD">
      <w:pPr>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仿宋" w:hAnsi="仿宋" w:eastAsia="仿宋" w:cs="仿宋"/>
          <w:b w:val="0"/>
          <w:bCs/>
          <w:color w:val="auto"/>
          <w:sz w:val="24"/>
          <w:szCs w:val="24"/>
          <w:highlight w:val="none"/>
        </w:rPr>
        <w:t>附件一  预留印章样式备案表</w:t>
      </w:r>
    </w:p>
    <w:p w14:paraId="411303B7">
      <w:pPr>
        <w:pStyle w:val="2"/>
        <w:pageBreakBefore w:val="0"/>
        <w:widowControl w:val="0"/>
        <w:kinsoku/>
        <w:wordWrap/>
        <w:overflowPunct/>
        <w:topLinePunct w:val="0"/>
        <w:autoSpaceDE/>
        <w:autoSpaceDN/>
        <w:bidi w:val="0"/>
        <w:adjustRightInd/>
        <w:snapToGrid/>
        <w:spacing w:before="0" w:after="0" w:line="360" w:lineRule="auto"/>
        <w:ind w:right="-105" w:rightChars="-5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附件</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运输确认单</w:t>
      </w:r>
    </w:p>
    <w:p w14:paraId="6F3CFAF4">
      <w:pPr>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附件</w:t>
      </w:r>
      <w:r>
        <w:rPr>
          <w:rFonts w:hint="eastAsia" w:ascii="仿宋" w:hAnsi="仿宋" w:eastAsia="仿宋" w:cs="仿宋"/>
          <w:b w:val="0"/>
          <w:bCs/>
          <w:color w:val="auto"/>
          <w:sz w:val="24"/>
          <w:szCs w:val="24"/>
          <w:highlight w:val="none"/>
          <w:lang w:val="en-US" w:eastAsia="zh-CN"/>
        </w:rPr>
        <w:t>三  送货通知单</w:t>
      </w:r>
    </w:p>
    <w:p w14:paraId="563BF04E">
      <w:pPr>
        <w:snapToGrid w:val="0"/>
        <w:spacing w:line="32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附件四  结算确认单</w:t>
      </w:r>
    </w:p>
    <w:p w14:paraId="08385F88">
      <w:pPr>
        <w:snapToGrid w:val="0"/>
        <w:spacing w:line="320" w:lineRule="exac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附件五  廉洁协议</w:t>
      </w:r>
    </w:p>
    <w:p w14:paraId="089EB434">
      <w:pPr>
        <w:adjustRightInd w:val="0"/>
        <w:snapToGrid w:val="0"/>
        <w:spacing w:line="360" w:lineRule="exact"/>
        <w:ind w:left="0" w:firstLine="0" w:firstLineChars="0"/>
        <w:rPr>
          <w:rFonts w:ascii="仿宋" w:hAnsi="仿宋" w:eastAsia="仿宋" w:cs="仿宋"/>
          <w:color w:val="auto"/>
          <w:szCs w:val="21"/>
          <w:highlight w:val="none"/>
        </w:rPr>
      </w:pPr>
    </w:p>
    <w:p w14:paraId="267456C1">
      <w:pPr>
        <w:jc w:val="center"/>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……以下签字页，无正文……</w:t>
      </w:r>
    </w:p>
    <w:p w14:paraId="77327853">
      <w:pPr>
        <w:adjustRightInd w:val="0"/>
        <w:snapToGrid w:val="0"/>
        <w:spacing w:line="360" w:lineRule="exact"/>
        <w:ind w:left="5670" w:hanging="5670" w:hangingChars="2700"/>
        <w:rPr>
          <w:rFonts w:ascii="仿宋" w:hAnsi="仿宋" w:eastAsia="仿宋" w:cs="仿宋"/>
          <w:color w:val="auto"/>
          <w:szCs w:val="21"/>
          <w:highlight w:val="none"/>
        </w:rPr>
      </w:pPr>
    </w:p>
    <w:p w14:paraId="56F009DE">
      <w:pPr>
        <w:adjustRightInd w:val="0"/>
        <w:snapToGrid w:val="0"/>
        <w:spacing w:line="360" w:lineRule="exact"/>
        <w:ind w:left="5670" w:hanging="5670" w:hangingChars="2700"/>
        <w:rPr>
          <w:rFonts w:ascii="仿宋" w:hAnsi="仿宋" w:eastAsia="仿宋" w:cs="仿宋"/>
          <w:color w:val="auto"/>
          <w:szCs w:val="21"/>
          <w:highlight w:val="none"/>
        </w:rPr>
      </w:pPr>
    </w:p>
    <w:p w14:paraId="619ACFC8">
      <w:pPr>
        <w:adjustRightInd w:val="0"/>
        <w:snapToGrid w:val="0"/>
        <w:spacing w:line="360" w:lineRule="exact"/>
        <w:ind w:left="7080" w:hanging="7080" w:hangingChars="2950"/>
        <w:rPr>
          <w:rFonts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1D604CBF">
      <w:pPr>
        <w:adjustRightInd w:val="0"/>
        <w:snapToGrid w:val="0"/>
        <w:spacing w:line="360" w:lineRule="exact"/>
        <w:ind w:left="7080" w:hanging="7080" w:hangingChars="2950"/>
        <w:rPr>
          <w:rFonts w:ascii="仿宋" w:hAnsi="仿宋" w:eastAsia="仿宋" w:cs="仿宋"/>
          <w:color w:val="auto"/>
          <w:sz w:val="24"/>
          <w:highlight w:val="none"/>
        </w:rPr>
      </w:pPr>
      <w:r>
        <w:rPr>
          <w:rFonts w:hint="eastAsia" w:ascii="仿宋" w:hAnsi="仿宋" w:eastAsia="仿宋" w:cs="仿宋"/>
          <w:color w:val="auto"/>
          <w:sz w:val="24"/>
          <w:highlight w:val="none"/>
        </w:rPr>
        <w:t>海南洋浦陆海能源发展有限公司</w:t>
      </w:r>
      <w:r>
        <w:rPr>
          <w:rFonts w:hint="eastAsia" w:ascii="仿宋" w:hAnsi="仿宋" w:eastAsia="仿宋" w:cs="仿宋"/>
          <w:color w:val="auto"/>
          <w:spacing w:val="-6"/>
          <w:sz w:val="24"/>
          <w:highlight w:val="none"/>
        </w:rPr>
        <w:t xml:space="preserve">                </w:t>
      </w:r>
      <w:r>
        <w:rPr>
          <w:rFonts w:hint="eastAsia" w:ascii="仿宋" w:hAnsi="仿宋" w:eastAsia="仿宋" w:cs="仿宋"/>
          <w:color w:val="auto"/>
          <w:sz w:val="24"/>
          <w:szCs w:val="28"/>
          <w:highlight w:val="none"/>
        </w:rPr>
        <w:t xml:space="preserve"> </w:t>
      </w:r>
    </w:p>
    <w:p w14:paraId="360719E6">
      <w:pPr>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法定代表人/授权代表：                       法定代表人/授权代表：                                     </w:t>
      </w:r>
    </w:p>
    <w:p w14:paraId="20D4958D">
      <w:pPr>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电  话：                             　    电  话： </w:t>
      </w:r>
    </w:p>
    <w:p w14:paraId="76DE6798">
      <w:pPr>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                                   联系人： </w:t>
      </w:r>
    </w:p>
    <w:p w14:paraId="59CA7639">
      <w:pPr>
        <w:adjustRightInd w:val="0"/>
        <w:snapToGrid w:val="0"/>
        <w:spacing w:line="360" w:lineRule="exact"/>
        <w:rPr>
          <w:rStyle w:val="43"/>
          <w:rFonts w:ascii="仿宋" w:hAnsi="仿宋" w:eastAsia="仿宋" w:cs="仿宋"/>
          <w:color w:val="auto"/>
          <w:highlight w:val="none"/>
        </w:rPr>
      </w:pPr>
      <w:r>
        <w:rPr>
          <w:rFonts w:hint="eastAsia" w:ascii="仿宋" w:hAnsi="仿宋" w:eastAsia="仿宋" w:cs="仿宋"/>
          <w:color w:val="auto"/>
          <w:sz w:val="24"/>
          <w:highlight w:val="none"/>
        </w:rPr>
        <w:t xml:space="preserve">日  期：                                   日  期： </w:t>
      </w:r>
    </w:p>
    <w:p w14:paraId="60CA0BA6">
      <w:pPr>
        <w:pStyle w:val="5"/>
        <w:spacing w:line="36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1304AC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5EF7C20">
      <w:pPr>
        <w:pStyle w:val="2"/>
        <w:spacing w:before="0" w:after="0" w:line="400" w:lineRule="exact"/>
        <w:ind w:right="-105" w:rightChars="-50"/>
        <w:rPr>
          <w:rFonts w:hint="eastAsia" w:ascii="仿宋" w:hAnsi="仿宋" w:eastAsia="仿宋" w:cs="仿宋"/>
          <w:b w:val="0"/>
          <w:bCs/>
          <w:color w:val="auto"/>
          <w:sz w:val="24"/>
          <w:szCs w:val="24"/>
          <w:highlight w:val="none"/>
        </w:rPr>
      </w:pPr>
      <w:bookmarkStart w:id="10" w:name="OLE_LINK7"/>
      <w:bookmarkStart w:id="11" w:name="OLE_LINK1"/>
      <w:r>
        <w:rPr>
          <w:rFonts w:hint="eastAsia" w:ascii="仿宋" w:hAnsi="仿宋" w:eastAsia="仿宋" w:cs="仿宋"/>
          <w:b w:val="0"/>
          <w:bCs/>
          <w:color w:val="auto"/>
          <w:sz w:val="24"/>
          <w:szCs w:val="24"/>
          <w:highlight w:val="none"/>
        </w:rPr>
        <w:t>附件一  预留印章样式备案表</w:t>
      </w:r>
      <w:bookmarkEnd w:id="10"/>
    </w:p>
    <w:p w14:paraId="51815CE6">
      <w:pPr>
        <w:spacing w:line="400" w:lineRule="exact"/>
        <w:ind w:right="-105" w:rightChars="-50"/>
        <w:jc w:val="left"/>
        <w:rPr>
          <w:rFonts w:hint="eastAsia" w:ascii="仿宋" w:hAnsi="仿宋" w:eastAsia="仿宋" w:cs="仿宋"/>
          <w:color w:val="auto"/>
          <w:sz w:val="28"/>
          <w:szCs w:val="28"/>
          <w:highlight w:val="none"/>
        </w:rPr>
      </w:pPr>
    </w:p>
    <w:p w14:paraId="519C9A56">
      <w:pPr>
        <w:spacing w:line="400" w:lineRule="exact"/>
        <w:ind w:left="0" w:leftChars="0" w:right="-105" w:rightChars="-50" w:firstLine="490" w:firstLineChars="17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预留印章样式备案，该印鉴效力等同于公章，仅用于本合同项下双方往来、结算、交接等相关事宜。</w:t>
      </w:r>
    </w:p>
    <w:bookmarkEnd w:id="11"/>
    <w:p w14:paraId="214910A8">
      <w:pPr>
        <w:spacing w:line="400" w:lineRule="exact"/>
        <w:ind w:left="-105" w:leftChars="-50" w:right="-105" w:rightChars="-50" w:firstLine="560" w:firstLineChars="200"/>
        <w:jc w:val="center"/>
        <w:rPr>
          <w:rFonts w:ascii="华文仿宋" w:hAnsi="华文仿宋" w:eastAsia="华文仿宋"/>
          <w:color w:val="auto"/>
          <w:sz w:val="28"/>
          <w:szCs w:val="28"/>
          <w:highlight w:val="none"/>
        </w:rPr>
      </w:pPr>
    </w:p>
    <w:p w14:paraId="0870AA6C">
      <w:pPr>
        <w:spacing w:line="400" w:lineRule="exact"/>
        <w:ind w:left="-105" w:leftChars="-50" w:right="-105" w:rightChars="-50" w:firstLine="560" w:firstLineChars="200"/>
        <w:jc w:val="center"/>
        <w:rPr>
          <w:rFonts w:ascii="华文仿宋" w:hAnsi="华文仿宋" w:eastAsia="华文仿宋"/>
          <w:color w:val="auto"/>
          <w:sz w:val="28"/>
          <w:szCs w:val="28"/>
          <w:highlight w:val="none"/>
        </w:rPr>
      </w:pPr>
    </w:p>
    <w:tbl>
      <w:tblPr>
        <w:tblStyle w:val="20"/>
        <w:tblW w:w="6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0"/>
      </w:tblGrid>
      <w:tr w14:paraId="35D9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760" w:type="dxa"/>
            <w:noWrap w:val="0"/>
            <w:vAlign w:val="top"/>
          </w:tcPr>
          <w:p w14:paraId="50DFBEF0">
            <w:pPr>
              <w:spacing w:line="400" w:lineRule="exact"/>
              <w:ind w:right="-105" w:rightChars="-50"/>
              <w:jc w:val="center"/>
              <w:rPr>
                <w:rFonts w:ascii="华文仿宋" w:hAnsi="华文仿宋" w:eastAsia="华文仿宋"/>
                <w:color w:val="auto"/>
                <w:sz w:val="28"/>
                <w:szCs w:val="28"/>
                <w:highlight w:val="none"/>
              </w:rPr>
            </w:pPr>
            <w:r>
              <w:rPr>
                <w:rFonts w:hint="eastAsia" w:ascii="华文仿宋" w:hAnsi="华文仿宋" w:eastAsia="华文仿宋"/>
                <w:b/>
                <w:bCs/>
                <w:color w:val="auto"/>
                <w:sz w:val="28"/>
                <w:szCs w:val="28"/>
                <w:highlight w:val="none"/>
              </w:rPr>
              <w:t>印章样式</w:t>
            </w:r>
          </w:p>
        </w:tc>
      </w:tr>
      <w:tr w14:paraId="45BE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jc w:val="center"/>
        </w:trPr>
        <w:tc>
          <w:tcPr>
            <w:tcW w:w="6760" w:type="dxa"/>
            <w:noWrap w:val="0"/>
            <w:vAlign w:val="center"/>
          </w:tcPr>
          <w:p w14:paraId="583F2355">
            <w:pPr>
              <w:spacing w:line="400" w:lineRule="exact"/>
              <w:ind w:left="-105" w:leftChars="-50" w:right="-105" w:rightChars="-50" w:firstLine="560" w:firstLineChars="200"/>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仅供备案，复印无效</w:t>
            </w:r>
          </w:p>
        </w:tc>
      </w:tr>
    </w:tbl>
    <w:p w14:paraId="3B6EE447">
      <w:pPr>
        <w:jc w:val="both"/>
        <w:rPr>
          <w:rFonts w:hint="eastAsia" w:ascii="仿宋" w:hAnsi="仿宋" w:eastAsia="仿宋" w:cs="仿宋"/>
          <w:b w:val="0"/>
          <w:bCs/>
          <w:color w:val="auto"/>
          <w:sz w:val="24"/>
          <w:szCs w:val="24"/>
          <w:highlight w:val="none"/>
        </w:rPr>
        <w:sectPr>
          <w:pgSz w:w="11906" w:h="16838"/>
          <w:pgMar w:top="1440" w:right="1800" w:bottom="1440" w:left="1800" w:header="851" w:footer="992" w:gutter="0"/>
          <w:cols w:space="425" w:num="1"/>
          <w:docGrid w:type="lines" w:linePitch="312" w:charSpace="0"/>
        </w:sectPr>
      </w:pPr>
    </w:p>
    <w:p w14:paraId="46050AA3">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二</w:t>
      </w:r>
    </w:p>
    <w:p w14:paraId="6D91DB9F">
      <w:pPr>
        <w:rPr>
          <w:rFonts w:hint="eastAsia" w:ascii="仿宋" w:hAnsi="仿宋" w:eastAsia="仿宋" w:cs="仿宋"/>
          <w:color w:val="auto"/>
          <w:sz w:val="24"/>
          <w:szCs w:val="24"/>
          <w:highlight w:val="none"/>
        </w:rPr>
      </w:pPr>
    </w:p>
    <w:p w14:paraId="37908000">
      <w:pPr>
        <w:rPr>
          <w:rFonts w:hint="eastAsia" w:ascii="仿宋" w:hAnsi="仿宋" w:eastAsia="仿宋" w:cs="仿宋"/>
          <w:color w:val="auto"/>
          <w:sz w:val="24"/>
          <w:szCs w:val="24"/>
          <w:highlight w:val="none"/>
        </w:rPr>
      </w:pPr>
    </w:p>
    <w:p w14:paraId="5978E8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运输确认单</w:t>
      </w:r>
    </w:p>
    <w:p w14:paraId="2FD42D4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auto"/>
          <w:sz w:val="24"/>
          <w:szCs w:val="24"/>
          <w:highlight w:val="none"/>
          <w:lang w:eastAsia="zh-CN"/>
        </w:rPr>
      </w:pPr>
    </w:p>
    <w:p w14:paraId="27A08EE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w:t>
      </w:r>
    </w:p>
    <w:p w14:paraId="13DA2A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w:t>
      </w:r>
    </w:p>
    <w:p w14:paraId="53C96D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经双方友好协商，</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根据《海南洋浦陆海能源发展有限公司成品油船舶运输服务框架协议》的相关约定，就本航次运输事宜确认如下：</w:t>
      </w:r>
    </w:p>
    <w:p w14:paraId="2A79C6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执行船舶明细：</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1"/>
        <w:gridCol w:w="4261"/>
      </w:tblGrid>
      <w:tr w14:paraId="5A9B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96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运输物品</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438">
            <w:pPr>
              <w:jc w:val="center"/>
              <w:rPr>
                <w:rFonts w:hint="eastAsia" w:ascii="仿宋" w:hAnsi="仿宋" w:eastAsia="仿宋" w:cs="仿宋"/>
                <w:i w:val="0"/>
                <w:iCs w:val="0"/>
                <w:color w:val="auto"/>
                <w:sz w:val="24"/>
                <w:szCs w:val="24"/>
                <w:highlight w:val="none"/>
                <w:u w:val="none"/>
              </w:rPr>
            </w:pPr>
          </w:p>
        </w:tc>
      </w:tr>
      <w:tr w14:paraId="3C94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77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船名</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7E75">
            <w:pPr>
              <w:jc w:val="center"/>
              <w:rPr>
                <w:rFonts w:hint="eastAsia" w:ascii="仿宋" w:hAnsi="仿宋" w:eastAsia="仿宋" w:cs="仿宋"/>
                <w:i w:val="0"/>
                <w:iCs w:val="0"/>
                <w:color w:val="auto"/>
                <w:sz w:val="24"/>
                <w:szCs w:val="24"/>
                <w:highlight w:val="none"/>
                <w:u w:val="none"/>
              </w:rPr>
            </w:pPr>
          </w:p>
        </w:tc>
      </w:tr>
      <w:tr w14:paraId="7FB4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4D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载重吨/载货吨</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2413">
            <w:pPr>
              <w:jc w:val="center"/>
              <w:rPr>
                <w:rFonts w:hint="eastAsia" w:ascii="仿宋" w:hAnsi="仿宋" w:eastAsia="仿宋" w:cs="仿宋"/>
                <w:i w:val="0"/>
                <w:iCs w:val="0"/>
                <w:color w:val="auto"/>
                <w:sz w:val="24"/>
                <w:szCs w:val="24"/>
                <w:highlight w:val="none"/>
                <w:u w:val="none"/>
              </w:rPr>
            </w:pPr>
          </w:p>
        </w:tc>
      </w:tr>
      <w:tr w14:paraId="25E7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5F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运输量（上下浮动10%）</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9484">
            <w:pPr>
              <w:jc w:val="center"/>
              <w:rPr>
                <w:rFonts w:hint="eastAsia" w:ascii="仿宋" w:hAnsi="仿宋" w:eastAsia="仿宋" w:cs="仿宋"/>
                <w:i w:val="0"/>
                <w:iCs w:val="0"/>
                <w:color w:val="auto"/>
                <w:sz w:val="24"/>
                <w:szCs w:val="24"/>
                <w:highlight w:val="none"/>
                <w:u w:val="none"/>
              </w:rPr>
            </w:pPr>
          </w:p>
        </w:tc>
      </w:tr>
      <w:tr w14:paraId="090E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E1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受载期</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9AD2">
            <w:pPr>
              <w:jc w:val="center"/>
              <w:rPr>
                <w:rFonts w:hint="eastAsia" w:ascii="仿宋" w:hAnsi="仿宋" w:eastAsia="仿宋" w:cs="仿宋"/>
                <w:i w:val="0"/>
                <w:iCs w:val="0"/>
                <w:color w:val="auto"/>
                <w:sz w:val="24"/>
                <w:szCs w:val="24"/>
                <w:highlight w:val="none"/>
                <w:u w:val="none"/>
              </w:rPr>
            </w:pPr>
          </w:p>
        </w:tc>
      </w:tr>
      <w:tr w14:paraId="4E43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24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装货港</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0C92">
            <w:pPr>
              <w:jc w:val="center"/>
              <w:rPr>
                <w:rFonts w:hint="eastAsia" w:ascii="仿宋" w:hAnsi="仿宋" w:eastAsia="仿宋" w:cs="仿宋"/>
                <w:i w:val="0"/>
                <w:iCs w:val="0"/>
                <w:color w:val="auto"/>
                <w:sz w:val="24"/>
                <w:szCs w:val="24"/>
                <w:highlight w:val="none"/>
                <w:u w:val="none"/>
              </w:rPr>
            </w:pPr>
          </w:p>
        </w:tc>
      </w:tr>
      <w:tr w14:paraId="61C6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8B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卸货港</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60E3">
            <w:pPr>
              <w:jc w:val="center"/>
              <w:rPr>
                <w:rFonts w:hint="eastAsia" w:ascii="仿宋" w:hAnsi="仿宋" w:eastAsia="仿宋" w:cs="仿宋"/>
                <w:i w:val="0"/>
                <w:iCs w:val="0"/>
                <w:color w:val="auto"/>
                <w:sz w:val="24"/>
                <w:szCs w:val="24"/>
                <w:highlight w:val="none"/>
                <w:u w:val="none"/>
              </w:rPr>
            </w:pPr>
          </w:p>
        </w:tc>
      </w:tr>
    </w:tbl>
    <w:p w14:paraId="7F015F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确认收到以上指示。</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承诺根据双方约定的义务以及上述航次指示完成本航次任务；</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承诺协助</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完成本航次任务并支付相应的运费。本航次</w:t>
      </w:r>
      <w:r>
        <w:rPr>
          <w:rFonts w:hint="eastAsia" w:ascii="仿宋" w:hAnsi="仿宋" w:eastAsia="仿宋" w:cs="仿宋"/>
          <w:color w:val="auto"/>
          <w:sz w:val="24"/>
          <w:szCs w:val="24"/>
          <w:highlight w:val="none"/>
          <w:lang w:val="en-US" w:eastAsia="zh-CN"/>
        </w:rPr>
        <w:t>运输</w:t>
      </w:r>
      <w:r>
        <w:rPr>
          <w:rFonts w:hint="eastAsia" w:ascii="仿宋" w:hAnsi="仿宋" w:eastAsia="仿宋" w:cs="仿宋"/>
          <w:color w:val="auto"/>
          <w:sz w:val="24"/>
          <w:szCs w:val="24"/>
          <w:highlight w:val="none"/>
        </w:rPr>
        <w:t>确认书经双方主管部门签字盖章确认后</w:t>
      </w:r>
      <w:r>
        <w:rPr>
          <w:rFonts w:hint="eastAsia" w:ascii="仿宋" w:hAnsi="仿宋" w:eastAsia="仿宋" w:cs="仿宋"/>
          <w:color w:val="auto"/>
          <w:sz w:val="24"/>
          <w:szCs w:val="24"/>
          <w:highlight w:val="none"/>
          <w:lang w:val="en-US" w:eastAsia="zh-CN"/>
        </w:rPr>
        <w:t>生效</w:t>
      </w:r>
      <w:r>
        <w:rPr>
          <w:rFonts w:hint="eastAsia" w:ascii="仿宋" w:hAnsi="仿宋" w:eastAsia="仿宋" w:cs="仿宋"/>
          <w:color w:val="auto"/>
          <w:sz w:val="24"/>
          <w:szCs w:val="24"/>
          <w:highlight w:val="none"/>
        </w:rPr>
        <w:t>。</w:t>
      </w:r>
    </w:p>
    <w:p w14:paraId="1D39F2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p>
    <w:p w14:paraId="38E86C51">
      <w:pPr>
        <w:rPr>
          <w:rFonts w:hint="eastAsia" w:ascii="仿宋" w:hAnsi="仿宋" w:eastAsia="仿宋" w:cs="仿宋"/>
          <w:color w:val="auto"/>
          <w:sz w:val="24"/>
          <w:szCs w:val="24"/>
          <w:highlight w:val="none"/>
        </w:rPr>
      </w:pPr>
    </w:p>
    <w:p w14:paraId="03E6A9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乙方</w:t>
      </w:r>
    </w:p>
    <w:p w14:paraId="48DD00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签字盖章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签字盖章</w:t>
      </w:r>
    </w:p>
    <w:p w14:paraId="4DFC93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年   月   日                 </w:t>
      </w: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val="en-US" w:eastAsia="zh-CN"/>
        </w:rPr>
        <w:t xml:space="preserve">     年   月   日</w:t>
      </w:r>
    </w:p>
    <w:p w14:paraId="7834A8F3">
      <w:pPr>
        <w:jc w:val="both"/>
        <w:rPr>
          <w:rFonts w:hint="eastAsia" w:ascii="仿宋" w:hAnsi="仿宋" w:eastAsia="仿宋" w:cs="仿宋"/>
          <w:b w:val="0"/>
          <w:bCs/>
          <w:color w:val="auto"/>
          <w:sz w:val="24"/>
          <w:szCs w:val="24"/>
          <w:highlight w:val="none"/>
        </w:rPr>
        <w:sectPr>
          <w:pgSz w:w="11906" w:h="16838"/>
          <w:pgMar w:top="1440" w:right="1800" w:bottom="1440" w:left="1800" w:header="851" w:footer="992" w:gutter="0"/>
          <w:cols w:space="425" w:num="1"/>
          <w:docGrid w:type="lines" w:linePitch="312" w:charSpace="0"/>
        </w:sectPr>
      </w:pPr>
    </w:p>
    <w:p w14:paraId="7B672FBD">
      <w:pPr>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附件</w:t>
      </w:r>
      <w:r>
        <w:rPr>
          <w:rFonts w:hint="eastAsia" w:ascii="仿宋" w:hAnsi="仿宋" w:eastAsia="仿宋" w:cs="仿宋"/>
          <w:b w:val="0"/>
          <w:bCs/>
          <w:color w:val="auto"/>
          <w:sz w:val="24"/>
          <w:szCs w:val="24"/>
          <w:highlight w:val="none"/>
          <w:lang w:val="en-US" w:eastAsia="zh-CN"/>
        </w:rPr>
        <w:t>三</w:t>
      </w:r>
    </w:p>
    <w:p w14:paraId="6408B51D">
      <w:pPr>
        <w:jc w:val="both"/>
        <w:rPr>
          <w:rFonts w:hint="eastAsia" w:ascii="仿宋" w:hAnsi="仿宋" w:eastAsia="仿宋" w:cs="仿宋"/>
          <w:b w:val="0"/>
          <w:bCs/>
          <w:color w:val="auto"/>
          <w:sz w:val="24"/>
          <w:szCs w:val="24"/>
          <w:highlight w:val="none"/>
          <w:lang w:val="en-US" w:eastAsia="zh-CN"/>
        </w:rPr>
      </w:pPr>
    </w:p>
    <w:p w14:paraId="4E0B789B">
      <w:pPr>
        <w:jc w:val="center"/>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送货通知单</w:t>
      </w:r>
    </w:p>
    <w:p w14:paraId="69EFDF73">
      <w:pPr>
        <w:jc w:val="center"/>
        <w:rPr>
          <w:rFonts w:hint="eastAsia" w:ascii="仿宋_GB2312" w:hAnsi="仿宋_GB2312" w:eastAsia="仿宋_GB2312" w:cs="仿宋_GB2312"/>
          <w:color w:val="auto"/>
          <w:sz w:val="44"/>
          <w:szCs w:val="44"/>
          <w:highlight w:val="none"/>
          <w:lang w:val="en-US" w:eastAsia="zh-CN"/>
        </w:rPr>
      </w:pPr>
    </w:p>
    <w:p w14:paraId="24E2864D">
      <w:pPr>
        <w:jc w:val="center"/>
        <w:rPr>
          <w:rFonts w:hint="eastAsia" w:ascii="仿宋_GB2312" w:hAnsi="仿宋_GB2312" w:eastAsia="仿宋_GB2312" w:cs="仿宋_GB2312"/>
          <w:color w:val="auto"/>
          <w:sz w:val="44"/>
          <w:szCs w:val="44"/>
          <w:highlight w:val="none"/>
          <w:lang w:val="en-US" w:eastAsia="zh-CN"/>
        </w:rPr>
      </w:pPr>
    </w:p>
    <w:p w14:paraId="02FEBDD9">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海南洋浦陆海能源发展有限公司：</w:t>
      </w:r>
    </w:p>
    <w:p w14:paraId="7896D90E">
      <w:pPr>
        <w:ind w:firstLine="560" w:firstLineChars="2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兹有我司委派船舶：</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联系电话：</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货物数量：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货物名称：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合同编号：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根据合同约定，配送至</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码头，预计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装船，望知悉。请贵司提前告知码头安排靠泊事宜，以便顺利完成交货。</w:t>
      </w:r>
    </w:p>
    <w:p w14:paraId="433E8440">
      <w:pPr>
        <w:ind w:firstLine="560" w:firstLineChars="200"/>
        <w:rPr>
          <w:rFonts w:hint="eastAsia" w:ascii="仿宋" w:hAnsi="仿宋" w:eastAsia="仿宋" w:cs="仿宋"/>
          <w:color w:val="auto"/>
          <w:sz w:val="28"/>
          <w:szCs w:val="28"/>
          <w:highlight w:val="none"/>
          <w:lang w:val="en-US" w:eastAsia="zh-CN"/>
        </w:rPr>
      </w:pPr>
    </w:p>
    <w:p w14:paraId="0B50975D">
      <w:pPr>
        <w:ind w:firstLine="560" w:firstLineChars="200"/>
        <w:rPr>
          <w:rFonts w:hint="eastAsia" w:ascii="仿宋" w:hAnsi="仿宋" w:eastAsia="仿宋" w:cs="仿宋"/>
          <w:color w:val="auto"/>
          <w:sz w:val="28"/>
          <w:szCs w:val="28"/>
          <w:highlight w:val="none"/>
          <w:lang w:val="en-US" w:eastAsia="zh-CN"/>
        </w:rPr>
      </w:pPr>
    </w:p>
    <w:p w14:paraId="1484D577">
      <w:pPr>
        <w:ind w:firstLine="560" w:firstLineChars="200"/>
        <w:rPr>
          <w:rFonts w:hint="eastAsia" w:ascii="仿宋" w:hAnsi="仿宋" w:eastAsia="仿宋" w:cs="仿宋"/>
          <w:color w:val="auto"/>
          <w:sz w:val="28"/>
          <w:szCs w:val="28"/>
          <w:highlight w:val="none"/>
          <w:lang w:val="en-US" w:eastAsia="zh-CN"/>
        </w:rPr>
      </w:pPr>
    </w:p>
    <w:p w14:paraId="2D2AFE34">
      <w:pPr>
        <w:rPr>
          <w:rFonts w:hint="eastAsia" w:ascii="仿宋" w:hAnsi="仿宋" w:eastAsia="仿宋" w:cs="仿宋"/>
          <w:color w:val="auto"/>
          <w:sz w:val="28"/>
          <w:szCs w:val="28"/>
          <w:highlight w:val="none"/>
          <w:lang w:val="en-US" w:eastAsia="zh-CN"/>
        </w:rPr>
      </w:pPr>
    </w:p>
    <w:p w14:paraId="4B314B23">
      <w:pPr>
        <w:tabs>
          <w:tab w:val="left" w:pos="5040"/>
          <w:tab w:val="left" w:pos="5880"/>
        </w:tabs>
        <w:ind w:firstLine="5149" w:firstLineChars="183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公司名称：</w:t>
      </w:r>
    </w:p>
    <w:p w14:paraId="5AC42601">
      <w:pPr>
        <w:tabs>
          <w:tab w:val="left" w:pos="5040"/>
          <w:tab w:val="left" w:pos="5880"/>
        </w:tabs>
        <w:ind w:firstLine="5149" w:firstLineChars="1839"/>
        <w:rPr>
          <w:rFonts w:hint="eastAsia" w:ascii="仿宋" w:hAnsi="仿宋" w:eastAsia="仿宋" w:cs="仿宋"/>
          <w:color w:val="auto"/>
          <w:sz w:val="28"/>
          <w:szCs w:val="28"/>
          <w:highlight w:val="none"/>
          <w:lang w:val="en-US" w:eastAsia="zh-CN"/>
        </w:rPr>
      </w:pPr>
    </w:p>
    <w:p w14:paraId="6EA4CA38">
      <w:pPr>
        <w:ind w:firstLine="5149" w:firstLineChars="183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日    期： 年  月   日</w:t>
      </w:r>
    </w:p>
    <w:p w14:paraId="2445E390">
      <w:pPr>
        <w:ind w:firstLine="5149" w:firstLineChars="1839"/>
        <w:rPr>
          <w:rFonts w:hint="eastAsia" w:ascii="仿宋" w:hAnsi="仿宋" w:eastAsia="仿宋" w:cs="仿宋"/>
          <w:color w:val="auto"/>
          <w:sz w:val="28"/>
          <w:szCs w:val="28"/>
          <w:highlight w:val="none"/>
          <w:lang w:val="en-US" w:eastAsia="zh-CN"/>
        </w:rPr>
      </w:pPr>
    </w:p>
    <w:p w14:paraId="23D6E85F">
      <w:pPr>
        <w:ind w:firstLine="5149" w:firstLineChars="1839"/>
        <w:rPr>
          <w:rFonts w:hint="eastAsia" w:ascii="仿宋" w:hAnsi="仿宋" w:eastAsia="仿宋" w:cs="仿宋"/>
          <w:color w:val="auto"/>
          <w:sz w:val="28"/>
          <w:szCs w:val="28"/>
          <w:highlight w:val="none"/>
          <w:lang w:val="en-US" w:eastAsia="zh-CN"/>
        </w:rPr>
      </w:pPr>
    </w:p>
    <w:p w14:paraId="2210FD43">
      <w:pPr>
        <w:ind w:firstLine="5149" w:firstLineChars="1839"/>
        <w:rPr>
          <w:rFonts w:hint="eastAsia" w:ascii="仿宋" w:hAnsi="仿宋" w:eastAsia="仿宋" w:cs="仿宋"/>
          <w:color w:val="auto"/>
          <w:sz w:val="28"/>
          <w:szCs w:val="28"/>
          <w:highlight w:val="none"/>
          <w:lang w:val="en-US" w:eastAsia="zh-CN"/>
        </w:rPr>
      </w:pPr>
    </w:p>
    <w:p w14:paraId="4F1CEB53">
      <w:pPr>
        <w:ind w:firstLine="5149" w:firstLineChars="1839"/>
        <w:rPr>
          <w:rFonts w:hint="eastAsia" w:ascii="仿宋" w:hAnsi="仿宋" w:eastAsia="仿宋" w:cs="仿宋"/>
          <w:color w:val="auto"/>
          <w:sz w:val="28"/>
          <w:szCs w:val="28"/>
          <w:highlight w:val="none"/>
          <w:lang w:val="en-US" w:eastAsia="zh-CN"/>
        </w:rPr>
      </w:pPr>
    </w:p>
    <w:p w14:paraId="1B97B3E6">
      <w:pPr>
        <w:ind w:firstLine="5149" w:firstLineChars="1839"/>
        <w:rPr>
          <w:rFonts w:hint="eastAsia" w:ascii="仿宋" w:hAnsi="仿宋" w:eastAsia="仿宋" w:cs="仿宋"/>
          <w:color w:val="auto"/>
          <w:sz w:val="28"/>
          <w:szCs w:val="28"/>
          <w:highlight w:val="none"/>
          <w:lang w:val="en-US" w:eastAsia="zh-CN"/>
        </w:rPr>
      </w:pPr>
    </w:p>
    <w:p w14:paraId="1F2D9836">
      <w:pPr>
        <w:ind w:firstLine="5149" w:firstLineChars="1839"/>
        <w:rPr>
          <w:rFonts w:hint="eastAsia" w:ascii="仿宋" w:hAnsi="仿宋" w:eastAsia="仿宋" w:cs="仿宋"/>
          <w:color w:val="auto"/>
          <w:sz w:val="28"/>
          <w:szCs w:val="28"/>
          <w:highlight w:val="none"/>
          <w:lang w:val="en-US" w:eastAsia="zh-CN"/>
        </w:rPr>
      </w:pPr>
    </w:p>
    <w:p w14:paraId="332BE974">
      <w:pPr>
        <w:ind w:firstLine="5149" w:firstLineChars="1839"/>
        <w:rPr>
          <w:rFonts w:hint="eastAsia" w:ascii="仿宋" w:hAnsi="仿宋" w:eastAsia="仿宋" w:cs="仿宋"/>
          <w:color w:val="auto"/>
          <w:sz w:val="28"/>
          <w:szCs w:val="28"/>
          <w:highlight w:val="none"/>
          <w:lang w:val="en-US" w:eastAsia="zh-CN"/>
        </w:rPr>
      </w:pPr>
    </w:p>
    <w:p w14:paraId="056D2903">
      <w:pPr>
        <w:wordWrap w:val="0"/>
        <w:spacing w:line="264"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附件四</w:t>
      </w:r>
    </w:p>
    <w:p w14:paraId="5BC24BC0">
      <w:pPr>
        <w:keepNext w:val="0"/>
        <w:keepLines w:val="0"/>
        <w:pageBreakBefore w:val="0"/>
        <w:widowControl/>
        <w:kinsoku/>
        <w:wordWrap/>
        <w:overflowPunct/>
        <w:topLinePunct w:val="0"/>
        <w:autoSpaceDE/>
        <w:autoSpaceDN/>
        <w:bidi w:val="0"/>
        <w:adjustRightInd/>
        <w:snapToGrid/>
        <w:spacing w:before="361" w:beforeLines="100" w:after="361" w:afterLines="100"/>
        <w:jc w:val="center"/>
        <w:textAlignment w:val="auto"/>
        <w:rPr>
          <w:rFonts w:hint="eastAsia" w:ascii="仿宋" w:hAnsi="仿宋" w:eastAsia="仿宋" w:cs="仿宋"/>
          <w:b w:val="0"/>
          <w:bCs/>
          <w:color w:val="auto"/>
          <w:sz w:val="36"/>
          <w:szCs w:val="36"/>
          <w:highlight w:val="none"/>
        </w:rPr>
      </w:pPr>
      <w:r>
        <w:rPr>
          <w:rFonts w:hint="eastAsia" w:ascii="仿宋" w:hAnsi="仿宋" w:eastAsia="仿宋" w:cs="仿宋"/>
          <w:b w:val="0"/>
          <w:bCs/>
          <w:color w:val="auto"/>
          <w:sz w:val="36"/>
          <w:szCs w:val="36"/>
          <w:highlight w:val="none"/>
        </w:rPr>
        <w:t>结算确认函</w:t>
      </w:r>
    </w:p>
    <w:p w14:paraId="71B1BF81">
      <w:pPr>
        <w:pStyle w:val="4"/>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b w:val="0"/>
          <w:bCs/>
          <w:color w:val="auto"/>
          <w:sz w:val="24"/>
          <w:szCs w:val="24"/>
          <w:highlight w:val="none"/>
        </w:rPr>
      </w:pPr>
    </w:p>
    <w:p w14:paraId="1F71FD3C">
      <w:pPr>
        <w:tabs>
          <w:tab w:val="left" w:pos="8789"/>
        </w:tabs>
        <w:adjustRightInd w:val="0"/>
        <w:snapToGrid w:val="0"/>
        <w:spacing w:line="370" w:lineRule="exact"/>
        <w:ind w:right="-105" w:rightChars="-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托运人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结算日期: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日</w:t>
      </w:r>
    </w:p>
    <w:p w14:paraId="60FD0F85">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承运人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合同号：</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            </w:t>
      </w:r>
    </w:p>
    <w:p w14:paraId="10FCD14B">
      <w:pPr>
        <w:numPr>
          <w:ilvl w:val="0"/>
          <w:numId w:val="0"/>
        </w:num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提货港</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                                    卸货港：</w:t>
      </w:r>
    </w:p>
    <w:p w14:paraId="3071859B">
      <w:pPr>
        <w:numPr>
          <w:ilvl w:val="0"/>
          <w:numId w:val="0"/>
        </w:num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结算明细：</w:t>
      </w:r>
    </w:p>
    <w:tbl>
      <w:tblPr>
        <w:tblStyle w:val="20"/>
        <w:tblpPr w:leftFromText="180" w:rightFromText="180" w:vertAnchor="text" w:horzAnchor="page" w:tblpX="1802" w:tblpY="646"/>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69"/>
        <w:gridCol w:w="2304"/>
        <w:gridCol w:w="2769"/>
        <w:gridCol w:w="2295"/>
      </w:tblGrid>
      <w:tr w14:paraId="1FB4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71F9BB6E">
            <w:pPr>
              <w:pStyle w:val="17"/>
              <w:widowControl/>
              <w:spacing w:line="24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材料</w:t>
            </w:r>
            <w:r>
              <w:rPr>
                <w:rFonts w:hint="eastAsia" w:ascii="仿宋" w:hAnsi="仿宋" w:eastAsia="仿宋" w:cs="仿宋"/>
                <w:b w:val="0"/>
                <w:bCs/>
                <w:color w:val="auto"/>
                <w:sz w:val="24"/>
                <w:szCs w:val="24"/>
                <w:highlight w:val="none"/>
              </w:rPr>
              <w:t>名称</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1FB4C7F">
            <w:pPr>
              <w:pStyle w:val="17"/>
              <w:widowControl/>
              <w:spacing w:line="24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实际结算</w:t>
            </w:r>
            <w:r>
              <w:rPr>
                <w:rFonts w:hint="eastAsia" w:ascii="仿宋" w:hAnsi="仿宋" w:eastAsia="仿宋" w:cs="仿宋"/>
                <w:b w:val="0"/>
                <w:bCs/>
                <w:color w:val="auto"/>
                <w:sz w:val="24"/>
                <w:szCs w:val="24"/>
                <w:highlight w:val="none"/>
              </w:rPr>
              <w:t>数量（</w:t>
            </w:r>
            <w:r>
              <w:rPr>
                <w:rFonts w:hint="eastAsia" w:ascii="仿宋" w:hAnsi="仿宋" w:eastAsia="仿宋" w:cs="仿宋"/>
                <w:b w:val="0"/>
                <w:bCs/>
                <w:color w:val="auto"/>
                <w:sz w:val="24"/>
                <w:szCs w:val="24"/>
                <w:highlight w:val="none"/>
                <w:lang w:val="en-US" w:eastAsia="zh-CN"/>
              </w:rPr>
              <w:t>单位为</w:t>
            </w:r>
            <w:r>
              <w:rPr>
                <w:rFonts w:hint="eastAsia" w:ascii="仿宋" w:hAnsi="仿宋" w:eastAsia="仿宋" w:cs="仿宋"/>
                <w:b w:val="0"/>
                <w:bCs/>
                <w:color w:val="auto"/>
                <w:sz w:val="24"/>
                <w:szCs w:val="24"/>
                <w:highlight w:val="none"/>
              </w:rPr>
              <w:t>吨）</w:t>
            </w:r>
          </w:p>
        </w:tc>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14:paraId="5A8CD93B">
            <w:pPr>
              <w:pStyle w:val="17"/>
              <w:widowControl/>
              <w:spacing w:line="24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运费</w:t>
            </w:r>
            <w:r>
              <w:rPr>
                <w:rFonts w:hint="eastAsia" w:ascii="仿宋" w:hAnsi="仿宋" w:eastAsia="仿宋" w:cs="仿宋"/>
                <w:b w:val="0"/>
                <w:bCs/>
                <w:color w:val="auto"/>
                <w:sz w:val="24"/>
                <w:szCs w:val="24"/>
                <w:highlight w:val="none"/>
              </w:rPr>
              <w:t>单价（</w:t>
            </w:r>
            <w:r>
              <w:rPr>
                <w:rFonts w:hint="eastAsia" w:ascii="仿宋" w:hAnsi="仿宋" w:eastAsia="仿宋" w:cs="仿宋"/>
                <w:b w:val="0"/>
                <w:bCs/>
                <w:color w:val="auto"/>
                <w:sz w:val="24"/>
                <w:szCs w:val="24"/>
                <w:highlight w:val="none"/>
                <w:lang w:val="en-US" w:eastAsia="zh-CN"/>
              </w:rPr>
              <w:t>不</w:t>
            </w:r>
            <w:r>
              <w:rPr>
                <w:rFonts w:hint="eastAsia" w:ascii="仿宋" w:hAnsi="仿宋" w:eastAsia="仿宋" w:cs="仿宋"/>
                <w:b w:val="0"/>
                <w:bCs/>
                <w:color w:val="auto"/>
                <w:sz w:val="24"/>
                <w:szCs w:val="24"/>
                <w:highlight w:val="none"/>
              </w:rPr>
              <w:t>含税</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单位为元</w:t>
            </w:r>
            <w:r>
              <w:rPr>
                <w:rFonts w:hint="eastAsia" w:ascii="仿宋" w:hAnsi="仿宋" w:eastAsia="仿宋" w:cs="仿宋"/>
                <w:b w:val="0"/>
                <w:bCs/>
                <w:color w:val="auto"/>
                <w:sz w:val="24"/>
                <w:szCs w:val="24"/>
                <w:highlight w:val="none"/>
              </w:rPr>
              <w:t>）</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131515CC">
            <w:pPr>
              <w:pStyle w:val="17"/>
              <w:widowControl/>
              <w:spacing w:line="24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运费单价（含税，单位为</w:t>
            </w:r>
            <w:r>
              <w:rPr>
                <w:rFonts w:hint="eastAsia" w:ascii="仿宋" w:hAnsi="仿宋" w:eastAsia="仿宋" w:cs="仿宋"/>
                <w:b w:val="0"/>
                <w:bCs/>
                <w:color w:val="auto"/>
                <w:sz w:val="24"/>
                <w:szCs w:val="24"/>
                <w:highlight w:val="none"/>
              </w:rPr>
              <w:t>元）</w:t>
            </w:r>
          </w:p>
        </w:tc>
      </w:tr>
      <w:tr w14:paraId="1465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DF06757">
            <w:pPr>
              <w:pStyle w:val="17"/>
              <w:widowControl/>
              <w:spacing w:line="240" w:lineRule="auto"/>
              <w:jc w:val="center"/>
              <w:rPr>
                <w:rFonts w:hint="eastAsia" w:ascii="仿宋" w:hAnsi="仿宋" w:eastAsia="仿宋" w:cs="仿宋"/>
                <w:b w:val="0"/>
                <w:bCs/>
                <w:color w:val="auto"/>
                <w:sz w:val="24"/>
                <w:szCs w:val="24"/>
                <w:highlight w:val="none"/>
                <w:lang w:val="en-US" w:eastAsia="zh-CN"/>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FECDE88">
            <w:pPr>
              <w:pStyle w:val="17"/>
              <w:widowControl/>
              <w:spacing w:line="240" w:lineRule="auto"/>
              <w:jc w:val="center"/>
              <w:rPr>
                <w:rFonts w:hint="eastAsia" w:ascii="仿宋" w:hAnsi="仿宋" w:eastAsia="仿宋" w:cs="仿宋"/>
                <w:b w:val="0"/>
                <w:bCs/>
                <w:color w:val="auto"/>
                <w:sz w:val="24"/>
                <w:szCs w:val="24"/>
                <w:highlight w:val="none"/>
                <w:lang w:val="en-US" w:eastAsia="zh-CN"/>
              </w:rPr>
            </w:pPr>
          </w:p>
        </w:tc>
        <w:tc>
          <w:tcPr>
            <w:tcW w:w="2769" w:type="dxa"/>
            <w:tcBorders>
              <w:top w:val="single" w:color="auto" w:sz="4" w:space="0"/>
              <w:left w:val="single" w:color="auto" w:sz="4" w:space="0"/>
              <w:bottom w:val="single" w:color="auto" w:sz="4" w:space="0"/>
              <w:right w:val="single" w:color="auto" w:sz="4" w:space="0"/>
            </w:tcBorders>
            <w:shd w:val="clear" w:color="auto" w:fill="auto"/>
            <w:vAlign w:val="center"/>
          </w:tcPr>
          <w:p w14:paraId="51C3CBC9">
            <w:pPr>
              <w:pStyle w:val="17"/>
              <w:widowControl/>
              <w:spacing w:line="240" w:lineRule="auto"/>
              <w:jc w:val="center"/>
              <w:rPr>
                <w:rFonts w:hint="eastAsia" w:ascii="仿宋" w:hAnsi="仿宋" w:eastAsia="仿宋" w:cs="仿宋"/>
                <w:b w:val="0"/>
                <w:bCs/>
                <w:color w:val="auto"/>
                <w:sz w:val="24"/>
                <w:szCs w:val="24"/>
                <w:highlight w:val="none"/>
                <w:lang w:val="en-US" w:eastAsia="zh-CN"/>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0AD406D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i w:val="0"/>
                <w:iCs w:val="0"/>
                <w:color w:val="auto"/>
                <w:kern w:val="2"/>
                <w:sz w:val="24"/>
                <w:szCs w:val="24"/>
                <w:highlight w:val="none"/>
                <w:u w:val="none"/>
                <w:lang w:val="en-US" w:eastAsia="zh-CN" w:bidi="ar-SA"/>
              </w:rPr>
            </w:pPr>
          </w:p>
        </w:tc>
      </w:tr>
      <w:tr w14:paraId="7D16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2215340A">
            <w:pPr>
              <w:pStyle w:val="17"/>
              <w:widowControl/>
              <w:spacing w:line="240" w:lineRule="auto"/>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付款</w:t>
            </w:r>
            <w:r>
              <w:rPr>
                <w:rFonts w:hint="eastAsia" w:ascii="仿宋" w:hAnsi="仿宋" w:eastAsia="仿宋" w:cs="仿宋"/>
                <w:b w:val="0"/>
                <w:bCs/>
                <w:color w:val="auto"/>
                <w:sz w:val="24"/>
                <w:szCs w:val="24"/>
                <w:highlight w:val="none"/>
              </w:rPr>
              <w:t>方式</w:t>
            </w:r>
          </w:p>
        </w:tc>
        <w:tc>
          <w:tcPr>
            <w:tcW w:w="73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4F49A4">
            <w:pPr>
              <w:pStyle w:val="17"/>
              <w:widowControl/>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银行转账</w:t>
            </w:r>
          </w:p>
        </w:tc>
      </w:tr>
      <w:tr w14:paraId="341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781E5FE8">
            <w:pPr>
              <w:pStyle w:val="17"/>
              <w:widowControl/>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运费</w:t>
            </w:r>
            <w:r>
              <w:rPr>
                <w:rFonts w:hint="eastAsia" w:ascii="仿宋" w:hAnsi="仿宋" w:eastAsia="仿宋" w:cs="仿宋"/>
                <w:b w:val="0"/>
                <w:bCs/>
                <w:color w:val="auto"/>
                <w:sz w:val="24"/>
                <w:szCs w:val="24"/>
                <w:highlight w:val="none"/>
              </w:rPr>
              <w:t>结算金额</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不含税）</w:t>
            </w:r>
          </w:p>
        </w:tc>
        <w:tc>
          <w:tcPr>
            <w:tcW w:w="73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162388">
            <w:pPr>
              <w:pStyle w:val="17"/>
              <w:widowControl/>
              <w:spacing w:line="240" w:lineRule="auto"/>
              <w:jc w:val="center"/>
              <w:rPr>
                <w:rFonts w:hint="eastAsia" w:ascii="仿宋" w:hAnsi="仿宋" w:eastAsia="仿宋" w:cs="仿宋"/>
                <w:b w:val="0"/>
                <w:bCs/>
                <w:color w:val="auto"/>
                <w:sz w:val="24"/>
                <w:szCs w:val="24"/>
                <w:highlight w:val="none"/>
                <w:lang w:val="en-US"/>
              </w:rPr>
            </w:pPr>
          </w:p>
        </w:tc>
      </w:tr>
      <w:tr w14:paraId="2345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7702446E">
            <w:pPr>
              <w:pStyle w:val="17"/>
              <w:widowControl/>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运费结算金额（含税）</w:t>
            </w:r>
          </w:p>
        </w:tc>
        <w:tc>
          <w:tcPr>
            <w:tcW w:w="73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4F99C5">
            <w:pPr>
              <w:pStyle w:val="17"/>
              <w:widowControl/>
              <w:spacing w:line="240" w:lineRule="auto"/>
              <w:jc w:val="center"/>
              <w:rPr>
                <w:rFonts w:hint="eastAsia" w:ascii="仿宋" w:hAnsi="仿宋" w:eastAsia="仿宋" w:cs="仿宋"/>
                <w:b w:val="0"/>
                <w:bCs/>
                <w:color w:val="auto"/>
                <w:sz w:val="24"/>
                <w:szCs w:val="24"/>
                <w:highlight w:val="none"/>
                <w:lang w:val="en-US" w:eastAsia="zh-CN"/>
              </w:rPr>
            </w:pPr>
          </w:p>
        </w:tc>
      </w:tr>
    </w:tbl>
    <w:p w14:paraId="150C72A7">
      <w:pPr>
        <w:spacing w:line="360" w:lineRule="auto"/>
        <w:rPr>
          <w:rFonts w:hint="eastAsia" w:ascii="仿宋" w:hAnsi="仿宋" w:eastAsia="仿宋" w:cs="仿宋"/>
          <w:b w:val="0"/>
          <w:bCs/>
          <w:color w:val="auto"/>
          <w:sz w:val="24"/>
          <w:szCs w:val="24"/>
          <w:highlight w:val="none"/>
        </w:rPr>
      </w:pPr>
    </w:p>
    <w:p w14:paraId="7535552F">
      <w:pPr>
        <w:spacing w:line="360" w:lineRule="auto"/>
        <w:rPr>
          <w:rFonts w:hint="eastAsia" w:ascii="仿宋" w:hAnsi="仿宋" w:eastAsia="仿宋" w:cs="仿宋"/>
          <w:b w:val="0"/>
          <w:bCs/>
          <w:color w:val="auto"/>
          <w:sz w:val="24"/>
          <w:szCs w:val="24"/>
          <w:highlight w:val="none"/>
        </w:rPr>
      </w:pPr>
    </w:p>
    <w:p w14:paraId="4DA3E845">
      <w:pPr>
        <w:spacing w:line="360" w:lineRule="auto"/>
        <w:rPr>
          <w:rFonts w:hint="eastAsia" w:ascii="仿宋" w:hAnsi="仿宋" w:eastAsia="仿宋" w:cs="仿宋"/>
          <w:b w:val="0"/>
          <w:bCs/>
          <w:color w:val="auto"/>
          <w:sz w:val="24"/>
          <w:szCs w:val="24"/>
          <w:highlight w:val="none"/>
          <w:lang w:val="en-US" w:eastAsia="zh-CN"/>
        </w:rPr>
      </w:pPr>
    </w:p>
    <w:p w14:paraId="5150DF2F">
      <w:pPr>
        <w:spacing w:line="360" w:lineRule="auto"/>
        <w:rPr>
          <w:rFonts w:hint="eastAsia" w:ascii="仿宋" w:hAnsi="仿宋" w:eastAsia="仿宋" w:cs="仿宋"/>
          <w:b w:val="0"/>
          <w:bCs/>
          <w:color w:val="auto"/>
          <w:sz w:val="24"/>
          <w:szCs w:val="24"/>
          <w:highlight w:val="none"/>
          <w:lang w:val="en-US" w:eastAsia="zh-CN"/>
        </w:rPr>
      </w:pPr>
    </w:p>
    <w:p w14:paraId="253D1DF3">
      <w:pPr>
        <w:spacing w:line="360" w:lineRule="auto"/>
        <w:rPr>
          <w:rFonts w:hint="eastAsia" w:ascii="仿宋" w:hAnsi="仿宋" w:eastAsia="仿宋" w:cs="仿宋"/>
          <w:b w:val="0"/>
          <w:bCs/>
          <w:color w:val="auto"/>
          <w:sz w:val="24"/>
          <w:szCs w:val="24"/>
          <w:highlight w:val="none"/>
          <w:lang w:val="en-US" w:eastAsia="zh-CN"/>
        </w:rPr>
      </w:pPr>
    </w:p>
    <w:p w14:paraId="28C506D2">
      <w:pPr>
        <w:spacing w:line="360" w:lineRule="auto"/>
        <w:rPr>
          <w:rFonts w:hint="eastAsia" w:ascii="仿宋" w:hAnsi="仿宋" w:eastAsia="仿宋" w:cs="仿宋"/>
          <w:b w:val="0"/>
          <w:bCs/>
          <w:color w:val="auto"/>
          <w:sz w:val="24"/>
          <w:szCs w:val="24"/>
          <w:highlight w:val="none"/>
          <w:lang w:val="en-US" w:eastAsia="zh-CN"/>
        </w:rPr>
      </w:pPr>
    </w:p>
    <w:p w14:paraId="303E8D72">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海南洋浦陆海能源发展有限公司</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 </w:t>
      </w:r>
    </w:p>
    <w:p w14:paraId="43B0690A">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（托运方盖章确认）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托运</w:t>
      </w:r>
      <w:r>
        <w:rPr>
          <w:rFonts w:hint="eastAsia" w:ascii="仿宋" w:hAnsi="仿宋" w:eastAsia="仿宋" w:cs="仿宋"/>
          <w:b w:val="0"/>
          <w:bCs/>
          <w:color w:val="auto"/>
          <w:sz w:val="24"/>
          <w:szCs w:val="24"/>
          <w:highlight w:val="none"/>
        </w:rPr>
        <w:t>方盖章确认）</w:t>
      </w:r>
    </w:p>
    <w:p w14:paraId="6B1AAC9D">
      <w:pPr>
        <w:wordWrap w:val="0"/>
        <w:spacing w:line="264" w:lineRule="auto"/>
        <w:rPr>
          <w:rFonts w:ascii="楷体" w:hAnsi="楷体" w:eastAsia="楷体" w:cs="楷体"/>
          <w:color w:val="auto"/>
          <w:highlight w:val="none"/>
        </w:rPr>
      </w:pPr>
    </w:p>
    <w:p w14:paraId="793D268B">
      <w:pPr>
        <w:wordWrap w:val="0"/>
        <w:spacing w:line="264" w:lineRule="auto"/>
        <w:rPr>
          <w:rFonts w:ascii="楷体" w:hAnsi="楷体" w:eastAsia="楷体" w:cs="楷体"/>
          <w:color w:val="auto"/>
          <w:highlight w:val="none"/>
        </w:rPr>
      </w:pPr>
    </w:p>
    <w:p w14:paraId="2508F590">
      <w:pPr>
        <w:wordWrap w:val="0"/>
        <w:spacing w:line="264" w:lineRule="auto"/>
        <w:rPr>
          <w:rFonts w:ascii="楷体" w:hAnsi="楷体" w:eastAsia="楷体" w:cs="楷体"/>
          <w:color w:val="auto"/>
          <w:highlight w:val="none"/>
        </w:rPr>
      </w:pPr>
    </w:p>
    <w:p w14:paraId="7E362437">
      <w:pPr>
        <w:wordWrap w:val="0"/>
        <w:spacing w:line="264" w:lineRule="auto"/>
        <w:rPr>
          <w:rFonts w:ascii="楷体" w:hAnsi="楷体" w:eastAsia="楷体" w:cs="楷体"/>
          <w:color w:val="auto"/>
          <w:highlight w:val="none"/>
        </w:rPr>
      </w:pPr>
    </w:p>
    <w:p w14:paraId="73B3D98A">
      <w:pPr>
        <w:wordWrap w:val="0"/>
        <w:spacing w:line="264" w:lineRule="auto"/>
        <w:rPr>
          <w:rFonts w:ascii="楷体" w:hAnsi="楷体" w:eastAsia="楷体" w:cs="楷体"/>
          <w:color w:val="auto"/>
          <w:highlight w:val="none"/>
        </w:rPr>
      </w:pPr>
    </w:p>
    <w:p w14:paraId="7E18528E">
      <w:pPr>
        <w:wordWrap w:val="0"/>
        <w:spacing w:line="264" w:lineRule="auto"/>
        <w:rPr>
          <w:rFonts w:ascii="楷体" w:hAnsi="楷体" w:eastAsia="楷体" w:cs="楷体"/>
          <w:color w:val="auto"/>
          <w:highlight w:val="none"/>
        </w:rPr>
      </w:pPr>
    </w:p>
    <w:p w14:paraId="79DE9AE2">
      <w:pPr>
        <w:wordWrap w:val="0"/>
        <w:spacing w:line="264" w:lineRule="auto"/>
        <w:rPr>
          <w:rFonts w:hint="eastAsia" w:ascii="楷体" w:hAnsi="楷体" w:eastAsia="楷体" w:cs="楷体"/>
          <w:color w:val="auto"/>
          <w:highlight w:val="none"/>
          <w:lang w:eastAsia="zh-CN"/>
        </w:rPr>
      </w:pPr>
      <w:r>
        <w:rPr>
          <w:rFonts w:hint="eastAsia" w:ascii="楷体" w:hAnsi="楷体" w:eastAsia="楷体" w:cs="楷体"/>
          <w:color w:val="auto"/>
          <w:highlight w:val="none"/>
        </w:rPr>
        <w:t>附件</w:t>
      </w:r>
      <w:r>
        <w:rPr>
          <w:rFonts w:hint="eastAsia" w:ascii="楷体" w:hAnsi="楷体" w:eastAsia="楷体" w:cs="楷体"/>
          <w:color w:val="auto"/>
          <w:highlight w:val="none"/>
          <w:lang w:val="en-US" w:eastAsia="zh-CN"/>
        </w:rPr>
        <w:t>五：</w:t>
      </w:r>
    </w:p>
    <w:p w14:paraId="6BE8C9B5">
      <w:pPr>
        <w:spacing w:line="440" w:lineRule="exact"/>
        <w:jc w:val="center"/>
        <w:rPr>
          <w:rFonts w:ascii="楷体" w:hAnsi="楷体" w:eastAsia="楷体" w:cs="楷体"/>
          <w:b/>
          <w:bCs/>
          <w:color w:val="auto"/>
          <w:sz w:val="44"/>
          <w:szCs w:val="44"/>
          <w:highlight w:val="none"/>
        </w:rPr>
      </w:pPr>
      <w:r>
        <w:rPr>
          <w:rFonts w:hint="eastAsia" w:ascii="楷体" w:hAnsi="楷体" w:eastAsia="楷体" w:cs="楷体"/>
          <w:b/>
          <w:bCs/>
          <w:color w:val="auto"/>
          <w:sz w:val="44"/>
          <w:szCs w:val="44"/>
          <w:highlight w:val="none"/>
        </w:rPr>
        <w:t>廉洁协议</w:t>
      </w:r>
    </w:p>
    <w:p w14:paraId="5C8F1D76">
      <w:pPr>
        <w:spacing w:line="44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96A29AE">
      <w:pPr>
        <w:spacing w:line="44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甲方：【海南洋浦陆海能源发展有限公司】                     </w:t>
      </w:r>
    </w:p>
    <w:p w14:paraId="78CDF50A">
      <w:pPr>
        <w:spacing w:line="44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乙方：【                   】                             </w:t>
      </w:r>
    </w:p>
    <w:p w14:paraId="103E7227">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46ADFCD6">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一、适用范围</w:t>
      </w:r>
    </w:p>
    <w:p w14:paraId="1BC98033">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本合同适用于甲方、乙方的所有工作人员。</w:t>
      </w:r>
    </w:p>
    <w:p w14:paraId="1C47F1EE">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二、甲方对其工作人员的廉洁要求</w:t>
      </w:r>
    </w:p>
    <w:p w14:paraId="0F19034B">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甲方禁止其工作人员从事如下行为：</w:t>
      </w:r>
    </w:p>
    <w:p w14:paraId="4DA000D4">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2.1向乙方索要贿赂、收受回扣及好处费、感谢费等；</w:t>
      </w:r>
    </w:p>
    <w:p w14:paraId="0E4CA1C8">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2.2接受乙方馈赠的礼品礼金、通讯工具、交通工具、家电、高档办公用品、购物卡券等；</w:t>
      </w:r>
    </w:p>
    <w:p w14:paraId="2CE72430">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2.3 以洽谈业务、签订经济合同为借口，接受乙方或其工作人员外出旅游和进入营业性高档娱乐场所的邀请；</w:t>
      </w:r>
    </w:p>
    <w:p w14:paraId="3A64178F">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2.4以个人名义向乙方推荐和指定分包单位、服务产品供应商，向乙方、分包单位、服务产品供应商等单位介绍其配偶、子女、亲属等特定关系人从事与履行甲乙双方间合同有关的营利性经营活动；</w:t>
      </w:r>
    </w:p>
    <w:p w14:paraId="2CE8A5C9">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2.5要求或者接受乙方为其住房装修、婚丧嫁娶、家属和子女的工作安排以及出境等提供方便；</w:t>
      </w:r>
    </w:p>
    <w:p w14:paraId="742CEBE1">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2.6利用职务便利，向乙方或分包、协作队伍、服务产品供应商借用交通工具、工款等，或提出、暗示其他不正当要求；</w:t>
      </w:r>
    </w:p>
    <w:p w14:paraId="7A620B19">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2.7 要求乙方报销任何应由其个人承担的费用；</w:t>
      </w:r>
    </w:p>
    <w:p w14:paraId="1E50C1BC">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2.8 参加有可能影响公正开展工作的宴请、娱乐或其它活动</w:t>
      </w:r>
    </w:p>
    <w:p w14:paraId="1B250252">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2.9 进行其他违反政策、法律法规或廉洁从业要求的其他行为。</w:t>
      </w:r>
    </w:p>
    <w:p w14:paraId="75D6C007">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三、乙方发现甲方工作人员有本合同第二条所列任何行为，有义务拒绝，亦有义务向甲方举报。</w:t>
      </w:r>
    </w:p>
    <w:p w14:paraId="4A91CE3E">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甲方接受举报的途径如下：</w:t>
      </w:r>
    </w:p>
    <w:p w14:paraId="56A20A8C">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公司受理部门：纪检监察室</w:t>
      </w:r>
    </w:p>
    <w:p w14:paraId="217B7786">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公司受理电话：0898-28810186        </w:t>
      </w:r>
    </w:p>
    <w:p w14:paraId="18A52148">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公司受理邮箱：chengl@hnyplh.com</w:t>
      </w:r>
    </w:p>
    <w:p w14:paraId="11FA7338">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5022D753">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五、乙方若须按照本廉洁协议约定承担违约责任，并不影响其按照主合同的约定承担违约责任。</w:t>
      </w:r>
    </w:p>
    <w:p w14:paraId="63AB7CE4">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六、本廉洁协作为合同的附件，与合同具有同等法律效力，经合同双方签署后生效。</w:t>
      </w:r>
    </w:p>
    <w:p w14:paraId="44E32CB1">
      <w:pPr>
        <w:spacing w:line="44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七、本合同【一式肆份，甲方执贰份,乙方执贰份】具有同等效力。</w:t>
      </w:r>
    </w:p>
    <w:p w14:paraId="5A36516C">
      <w:pPr>
        <w:spacing w:line="440" w:lineRule="exact"/>
        <w:ind w:firstLine="480" w:firstLineChars="200"/>
        <w:rPr>
          <w:rFonts w:ascii="楷体" w:hAnsi="楷体" w:eastAsia="楷体" w:cs="楷体"/>
          <w:color w:val="auto"/>
          <w:sz w:val="24"/>
          <w:szCs w:val="24"/>
          <w:highlight w:val="none"/>
        </w:rPr>
      </w:pPr>
    </w:p>
    <w:p w14:paraId="70DE953E">
      <w:pPr>
        <w:spacing w:line="44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261052C7">
      <w:pPr>
        <w:spacing w:line="440" w:lineRule="exact"/>
        <w:ind w:left="6240" w:hanging="6240" w:hangingChars="26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甲方：【海南洋浦陆海能源发展有限公司】              </w:t>
      </w:r>
    </w:p>
    <w:p w14:paraId="5B445B75">
      <w:pPr>
        <w:spacing w:line="440" w:lineRule="exact"/>
        <w:ind w:left="6240" w:hanging="6240" w:hangingChars="26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68757610">
      <w:pPr>
        <w:spacing w:line="440" w:lineRule="exact"/>
        <w:ind w:left="6240" w:hanging="6240" w:hangingChars="26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法定代表人（委托代理人）：【     】</w:t>
      </w:r>
    </w:p>
    <w:p w14:paraId="7D3F267D">
      <w:pPr>
        <w:spacing w:line="440" w:lineRule="exact"/>
        <w:ind w:left="6240" w:hanging="6240" w:hangingChars="26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AB49213">
      <w:pPr>
        <w:spacing w:line="440" w:lineRule="exact"/>
        <w:ind w:left="6240" w:hanging="6240" w:hangingChars="26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乙方：【                】</w:t>
      </w:r>
    </w:p>
    <w:p w14:paraId="7C54EF17">
      <w:pPr>
        <w:spacing w:line="44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61653FDD">
      <w:pPr>
        <w:spacing w:line="440" w:lineRule="exact"/>
        <w:rPr>
          <w:rFonts w:ascii="楷体" w:hAnsi="楷体" w:eastAsia="楷体" w:cs="楷体"/>
          <w:color w:val="auto"/>
          <w:highlight w:val="none"/>
        </w:rPr>
      </w:pPr>
      <w:r>
        <w:rPr>
          <w:rFonts w:hint="eastAsia" w:ascii="楷体" w:hAnsi="楷体" w:eastAsia="楷体" w:cs="楷体"/>
          <w:color w:val="auto"/>
          <w:sz w:val="24"/>
          <w:szCs w:val="24"/>
          <w:highlight w:val="none"/>
        </w:rPr>
        <w:t>法定代表人（委托代理人）：【     】</w:t>
      </w:r>
    </w:p>
    <w:p w14:paraId="044FDA87">
      <w:pPr>
        <w:rPr>
          <w:rFonts w:hint="eastAsia" w:ascii="楷体" w:hAnsi="楷体" w:eastAsia="楷体" w:cs="楷体"/>
          <w:b/>
          <w:bCs/>
          <w:color w:val="auto"/>
          <w:kern w:val="44"/>
          <w:sz w:val="24"/>
          <w:szCs w:val="24"/>
          <w:highlight w:val="none"/>
        </w:rPr>
      </w:pPr>
      <w:r>
        <w:rPr>
          <w:rFonts w:hint="eastAsia" w:ascii="楷体" w:hAnsi="楷体" w:eastAsia="楷体" w:cs="楷体"/>
          <w:b/>
          <w:bCs/>
          <w:color w:val="auto"/>
          <w:kern w:val="44"/>
          <w:sz w:val="24"/>
          <w:szCs w:val="24"/>
          <w:highlight w:val="none"/>
        </w:rPr>
        <w:br w:type="page"/>
      </w:r>
    </w:p>
    <w:p w14:paraId="067F2D56">
      <w:pPr>
        <w:pStyle w:val="29"/>
        <w:numPr>
          <w:ilvl w:val="0"/>
          <w:numId w:val="1"/>
        </w:numPr>
        <w:spacing w:line="360" w:lineRule="auto"/>
        <w:ind w:firstLineChars="0"/>
        <w:jc w:val="center"/>
        <w:rPr>
          <w:rFonts w:ascii="楷体" w:hAnsi="楷体" w:eastAsia="楷体" w:cs="楷体"/>
          <w:b/>
          <w:bCs/>
          <w:color w:val="auto"/>
          <w:kern w:val="44"/>
          <w:sz w:val="32"/>
          <w:szCs w:val="32"/>
          <w:highlight w:val="none"/>
        </w:rPr>
      </w:pPr>
      <w:r>
        <w:rPr>
          <w:rFonts w:hint="eastAsia" w:ascii="楷体" w:hAnsi="楷体" w:eastAsia="楷体" w:cs="楷体"/>
          <w:b/>
          <w:bCs/>
          <w:color w:val="auto"/>
          <w:kern w:val="44"/>
          <w:sz w:val="32"/>
          <w:szCs w:val="32"/>
          <w:highlight w:val="none"/>
        </w:rPr>
        <w:t>报价文件（格式）</w:t>
      </w:r>
    </w:p>
    <w:p w14:paraId="57FAE9DF">
      <w:pPr>
        <w:pStyle w:val="29"/>
        <w:spacing w:line="240" w:lineRule="atLeast"/>
        <w:ind w:firstLine="0" w:firstLineChars="0"/>
        <w:jc w:val="center"/>
        <w:rPr>
          <w:rFonts w:ascii="楷体" w:hAnsi="楷体" w:eastAsia="楷体" w:cs="楷体"/>
          <w:b/>
          <w:bCs/>
          <w:color w:val="auto"/>
          <w:kern w:val="44"/>
          <w:sz w:val="24"/>
          <w:szCs w:val="24"/>
          <w:highlight w:val="none"/>
        </w:rPr>
      </w:pPr>
    </w:p>
    <w:bookmarkEnd w:id="0"/>
    <w:bookmarkEnd w:id="1"/>
    <w:p w14:paraId="2BA59E7A">
      <w:pPr>
        <w:pStyle w:val="29"/>
        <w:numPr>
          <w:ilvl w:val="0"/>
          <w:numId w:val="15"/>
        </w:numPr>
        <w:spacing w:line="360" w:lineRule="auto"/>
        <w:ind w:firstLineChars="0"/>
        <w:jc w:val="center"/>
        <w:rPr>
          <w:rFonts w:ascii="楷体" w:hAnsi="楷体" w:eastAsia="楷体" w:cs="楷体"/>
          <w:b/>
          <w:bCs/>
          <w:color w:val="auto"/>
          <w:kern w:val="44"/>
          <w:sz w:val="24"/>
          <w:szCs w:val="24"/>
          <w:highlight w:val="none"/>
        </w:rPr>
      </w:pPr>
      <w:r>
        <w:rPr>
          <w:rFonts w:hint="eastAsia" w:ascii="楷体" w:hAnsi="楷体" w:eastAsia="楷体" w:cs="楷体"/>
          <w:b/>
          <w:bCs/>
          <w:color w:val="auto"/>
          <w:kern w:val="44"/>
          <w:sz w:val="24"/>
          <w:szCs w:val="24"/>
          <w:highlight w:val="none"/>
        </w:rPr>
        <w:t>承诺函</w:t>
      </w:r>
    </w:p>
    <w:p w14:paraId="0BBD8AC9">
      <w:pPr>
        <w:pStyle w:val="3"/>
        <w:spacing w:before="312" w:beforeLines="100" w:after="0" w:line="240" w:lineRule="auto"/>
        <w:rPr>
          <w:rFonts w:ascii="楷体" w:hAnsi="楷体" w:eastAsia="楷体" w:cs="楷体"/>
          <w:b w:val="0"/>
          <w:color w:val="auto"/>
          <w:sz w:val="24"/>
          <w:szCs w:val="24"/>
          <w:highlight w:val="none"/>
        </w:rPr>
      </w:pPr>
      <w:r>
        <w:rPr>
          <w:rFonts w:hint="eastAsia" w:ascii="楷体" w:hAnsi="楷体" w:eastAsia="楷体" w:cs="楷体"/>
          <w:b w:val="0"/>
          <w:color w:val="auto"/>
          <w:sz w:val="24"/>
          <w:szCs w:val="24"/>
          <w:highlight w:val="none"/>
        </w:rPr>
        <w:t>海南洋浦陆海能源发展有限公司：</w:t>
      </w:r>
    </w:p>
    <w:p w14:paraId="0181FA0B">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我单位对贵单位所发的公开询价报价文件所有条款予以确认，并进一步承诺如下：</w:t>
      </w:r>
    </w:p>
    <w:p w14:paraId="7262343C">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1、我单位已充分考虑了公开</w:t>
      </w:r>
      <w:r>
        <w:rPr>
          <w:rFonts w:hint="eastAsia" w:ascii="楷体" w:hAnsi="楷体" w:eastAsia="楷体" w:cs="楷体"/>
          <w:bCs/>
          <w:color w:val="auto"/>
          <w:sz w:val="24"/>
          <w:szCs w:val="24"/>
          <w:highlight w:val="none"/>
          <w:lang w:val="en-US" w:eastAsia="zh-CN"/>
        </w:rPr>
        <w:t>征集</w:t>
      </w:r>
      <w:r>
        <w:rPr>
          <w:rFonts w:hint="eastAsia" w:ascii="楷体" w:hAnsi="楷体" w:eastAsia="楷体" w:cs="楷体"/>
          <w:bCs/>
          <w:color w:val="auto"/>
          <w:sz w:val="24"/>
          <w:szCs w:val="24"/>
          <w:highlight w:val="none"/>
        </w:rPr>
        <w:t>文件及采购合同要求成交单位应承担的所有义务及风险，由此造成或可能造成的费用我方已包含在报价中。</w:t>
      </w:r>
    </w:p>
    <w:p w14:paraId="3C7AE380">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2、若我单位成交，除非贵单位要求，我单位将不主动要求调整采购合同条款。否则，贵单位可以随时取消我单位的成交资格。</w:t>
      </w:r>
    </w:p>
    <w:p w14:paraId="517674B3">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3、我单位的《承诺函》，将作为合同的组成部分。</w:t>
      </w:r>
    </w:p>
    <w:p w14:paraId="4867D0A4">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5、若我单位没有成交，我单位将不要求贵方做任何解释。</w:t>
      </w:r>
    </w:p>
    <w:p w14:paraId="51BC06B5">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6、若我单位成交，我单位同意本确认函及所有文件作为合同的组成部分，与供货合同具有同样的法律效力。</w:t>
      </w:r>
    </w:p>
    <w:p w14:paraId="355A3382">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7、在供应时间上将严格按要求时间组织货物运输，我单位的保证措施是根据运输时间及路线要求提前做好准备，如因运输时间延误而造成贵单位损失，我单位承诺接受按照合同违约条款进行处罚。</w:t>
      </w:r>
    </w:p>
    <w:p w14:paraId="6076CF53">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8、我单位将以良好的服务态度、饱满的工作热情和遵纪守法的工作作风做好对贵单位的服务，认真履行贵单位合同相关义务，配合贵单位油品运输流程并积极配合</w:t>
      </w:r>
      <w:r>
        <w:rPr>
          <w:rFonts w:hint="eastAsia" w:ascii="楷体" w:hAnsi="楷体" w:eastAsia="楷体" w:cs="楷体"/>
          <w:bCs/>
          <w:color w:val="auto"/>
          <w:sz w:val="24"/>
          <w:szCs w:val="24"/>
          <w:highlight w:val="none"/>
          <w:lang w:val="en-US" w:eastAsia="zh-CN"/>
        </w:rPr>
        <w:t>相关</w:t>
      </w:r>
      <w:r>
        <w:rPr>
          <w:rFonts w:hint="eastAsia" w:ascii="楷体" w:hAnsi="楷体" w:eastAsia="楷体" w:cs="楷体"/>
          <w:bCs/>
          <w:color w:val="auto"/>
          <w:sz w:val="24"/>
          <w:szCs w:val="24"/>
          <w:highlight w:val="none"/>
        </w:rPr>
        <w:t>质量检查工作，让贵司满意。</w:t>
      </w:r>
    </w:p>
    <w:p w14:paraId="48FC9FD5">
      <w:pPr>
        <w:spacing w:line="400" w:lineRule="exact"/>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9、我单位郑重承诺：我单位对公开</w:t>
      </w:r>
      <w:r>
        <w:rPr>
          <w:rFonts w:hint="eastAsia" w:ascii="楷体" w:hAnsi="楷体" w:eastAsia="楷体" w:cs="楷体"/>
          <w:bCs/>
          <w:color w:val="auto"/>
          <w:sz w:val="24"/>
          <w:szCs w:val="24"/>
          <w:highlight w:val="none"/>
          <w:lang w:val="en-US" w:eastAsia="zh-CN"/>
        </w:rPr>
        <w:t>征集</w:t>
      </w:r>
      <w:r>
        <w:rPr>
          <w:rFonts w:hint="eastAsia" w:ascii="楷体" w:hAnsi="楷体" w:eastAsia="楷体" w:cs="楷体"/>
          <w:bCs/>
          <w:color w:val="auto"/>
          <w:sz w:val="24"/>
          <w:szCs w:val="24"/>
          <w:highlight w:val="none"/>
        </w:rPr>
        <w:t>单位提供的文件及合同条款完全接受和遵守。</w:t>
      </w:r>
    </w:p>
    <w:p w14:paraId="1E8C91D0">
      <w:pPr>
        <w:spacing w:line="400" w:lineRule="exact"/>
        <w:rPr>
          <w:rFonts w:ascii="楷体" w:hAnsi="楷体" w:eastAsia="楷体" w:cs="楷体"/>
          <w:color w:val="auto"/>
          <w:sz w:val="24"/>
          <w:szCs w:val="24"/>
          <w:highlight w:val="none"/>
        </w:rPr>
      </w:pPr>
      <w:r>
        <w:rPr>
          <w:rFonts w:hint="eastAsia" w:ascii="楷体" w:hAnsi="楷体" w:eastAsia="楷体" w:cs="楷体"/>
          <w:bCs/>
          <w:color w:val="auto"/>
          <w:sz w:val="24"/>
          <w:szCs w:val="24"/>
          <w:highlight w:val="none"/>
        </w:rPr>
        <w:t>10、我单位承诺同意按照贵单位要求办理结算及支付方式；承诺按所提供本单位银行开户许可证的开户行名称及帐号接收结算款，保证不使用委托收款。</w:t>
      </w:r>
    </w:p>
    <w:p w14:paraId="11C28D77">
      <w:pPr>
        <w:spacing w:line="560" w:lineRule="exact"/>
        <w:ind w:firstLine="4080" w:firstLineChars="1700"/>
        <w:rPr>
          <w:rFonts w:ascii="楷体" w:hAnsi="楷体" w:eastAsia="楷体" w:cs="楷体"/>
          <w:bCs/>
          <w:color w:val="auto"/>
          <w:sz w:val="24"/>
          <w:szCs w:val="24"/>
          <w:highlight w:val="none"/>
        </w:rPr>
      </w:pPr>
    </w:p>
    <w:p w14:paraId="6FB9CAD8">
      <w:pPr>
        <w:spacing w:line="560" w:lineRule="exact"/>
        <w:ind w:firstLine="3360" w:firstLineChars="1400"/>
        <w:rPr>
          <w:rFonts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征集</w:t>
      </w:r>
      <w:r>
        <w:rPr>
          <w:rFonts w:hint="eastAsia" w:ascii="楷体" w:hAnsi="楷体" w:eastAsia="楷体" w:cs="楷体"/>
          <w:bCs/>
          <w:color w:val="auto"/>
          <w:sz w:val="24"/>
          <w:szCs w:val="24"/>
          <w:highlight w:val="none"/>
        </w:rPr>
        <w:t>单位：</w:t>
      </w: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rPr>
        <w:t>（盖章）</w:t>
      </w:r>
    </w:p>
    <w:p w14:paraId="45A7BEA6">
      <w:pPr>
        <w:spacing w:line="560" w:lineRule="exact"/>
        <w:ind w:firstLine="3360" w:firstLineChars="14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法定代表人或其被授权人：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（签字或盖章）</w:t>
      </w:r>
    </w:p>
    <w:p w14:paraId="4F49BBA6">
      <w:pPr>
        <w:spacing w:line="560" w:lineRule="exact"/>
        <w:ind w:firstLine="3360" w:firstLineChars="1400"/>
        <w:rPr>
          <w:rFonts w:ascii="楷体" w:hAnsi="楷体" w:eastAsia="楷体" w:cs="楷体"/>
          <w:color w:val="auto"/>
          <w:highlight w:val="none"/>
        </w:rPr>
      </w:pPr>
      <w:r>
        <w:rPr>
          <w:rFonts w:hint="eastAsia" w:ascii="楷体" w:hAnsi="楷体" w:eastAsia="楷体" w:cs="楷体"/>
          <w:bCs/>
          <w:color w:val="auto"/>
          <w:sz w:val="24"/>
          <w:szCs w:val="24"/>
          <w:highlight w:val="none"/>
        </w:rPr>
        <w:t>日    期：     年    月   日</w:t>
      </w:r>
    </w:p>
    <w:p w14:paraId="5AB0A4DF">
      <w:pPr>
        <w:rPr>
          <w:rFonts w:ascii="楷体" w:hAnsi="楷体" w:eastAsia="楷体" w:cs="楷体"/>
          <w:b/>
          <w:bCs/>
          <w:color w:val="auto"/>
          <w:kern w:val="44"/>
          <w:sz w:val="24"/>
          <w:szCs w:val="24"/>
          <w:highlight w:val="none"/>
        </w:rPr>
      </w:pPr>
    </w:p>
    <w:p w14:paraId="45B1E97C">
      <w:pPr>
        <w:numPr>
          <w:ilvl w:val="0"/>
          <w:numId w:val="15"/>
        </w:numPr>
        <w:jc w:val="center"/>
        <w:rPr>
          <w:rFonts w:ascii="楷体" w:hAnsi="楷体" w:eastAsia="楷体" w:cs="楷体"/>
          <w:color w:val="auto"/>
          <w:sz w:val="24"/>
          <w:szCs w:val="24"/>
          <w:highlight w:val="none"/>
        </w:rPr>
      </w:pPr>
      <w:r>
        <w:rPr>
          <w:rFonts w:hint="eastAsia" w:ascii="楷体" w:hAnsi="楷体" w:eastAsia="楷体" w:cs="楷体"/>
          <w:b/>
          <w:bCs/>
          <w:color w:val="auto"/>
          <w:kern w:val="44"/>
          <w:sz w:val="24"/>
          <w:szCs w:val="24"/>
          <w:highlight w:val="none"/>
        </w:rPr>
        <w:br w:type="page"/>
      </w:r>
      <w:r>
        <w:rPr>
          <w:rFonts w:hint="eastAsia" w:ascii="楷体" w:hAnsi="楷体" w:eastAsia="楷体" w:cs="楷体"/>
          <w:b/>
          <w:bCs/>
          <w:color w:val="auto"/>
          <w:sz w:val="24"/>
          <w:szCs w:val="24"/>
          <w:highlight w:val="none"/>
        </w:rPr>
        <w:t>法定代表人授权书（适用于有授权人的情况）</w:t>
      </w:r>
    </w:p>
    <w:p w14:paraId="55571828">
      <w:pPr>
        <w:rPr>
          <w:color w:val="auto"/>
          <w:highlight w:val="none"/>
        </w:rPr>
      </w:pPr>
    </w:p>
    <w:p w14:paraId="094695C5">
      <w:pPr>
        <w:adjustRightInd w:val="0"/>
        <w:snapToGrid w:val="0"/>
        <w:spacing w:line="480" w:lineRule="auto"/>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致：海南洋浦陆海能源发展有限公司</w:t>
      </w:r>
    </w:p>
    <w:p w14:paraId="73EC54DF">
      <w:pPr>
        <w:snapToGrid w:val="0"/>
        <w:spacing w:line="480" w:lineRule="auto"/>
        <w:ind w:firstLine="480" w:firstLineChars="200"/>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（法定代表人姓名）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为本公司的唯一合法代理人，代表本公司参加海南洋浦陆海能源发展有限公司</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运输服务</w:t>
      </w:r>
      <w:r>
        <w:rPr>
          <w:rFonts w:hint="eastAsia" w:ascii="楷体" w:hAnsi="楷体" w:eastAsia="楷体" w:cs="楷体"/>
          <w:color w:val="auto"/>
          <w:sz w:val="24"/>
          <w:szCs w:val="24"/>
          <w:highlight w:val="none"/>
        </w:rPr>
        <w:t>采购公开</w:t>
      </w:r>
      <w:r>
        <w:rPr>
          <w:rFonts w:hint="eastAsia" w:ascii="楷体" w:hAnsi="楷体" w:eastAsia="楷体" w:cs="楷体"/>
          <w:color w:val="auto"/>
          <w:sz w:val="24"/>
          <w:szCs w:val="24"/>
          <w:highlight w:val="none"/>
          <w:lang w:val="en-US" w:eastAsia="zh-CN"/>
        </w:rPr>
        <w:t>征集</w:t>
      </w:r>
      <w:r>
        <w:rPr>
          <w:rFonts w:hint="eastAsia" w:ascii="楷体" w:hAnsi="楷体" w:eastAsia="楷体" w:cs="楷体"/>
          <w:color w:val="auto"/>
          <w:sz w:val="24"/>
          <w:szCs w:val="24"/>
          <w:highlight w:val="none"/>
        </w:rPr>
        <w:t>活动，并在整个公开</w:t>
      </w:r>
      <w:r>
        <w:rPr>
          <w:rFonts w:hint="eastAsia" w:ascii="楷体" w:hAnsi="楷体" w:eastAsia="楷体" w:cs="楷体"/>
          <w:color w:val="auto"/>
          <w:sz w:val="24"/>
          <w:szCs w:val="24"/>
          <w:highlight w:val="none"/>
          <w:lang w:val="en-US" w:eastAsia="zh-CN"/>
        </w:rPr>
        <w:t>征集活动</w:t>
      </w:r>
      <w:r>
        <w:rPr>
          <w:rFonts w:hint="eastAsia" w:ascii="楷体" w:hAnsi="楷体" w:eastAsia="楷体" w:cs="楷体"/>
          <w:color w:val="auto"/>
          <w:sz w:val="24"/>
          <w:szCs w:val="24"/>
          <w:highlight w:val="none"/>
        </w:rPr>
        <w:t>活动中，以本公司名义全权处理包括递交企业和产品资质材料，确认相关信息， 产品报价、议价，交纳相关费用，签订采购合同，执行和完成采购周期内的售后服务等一切与之有关的事务，并保证所提供的资质证明材料真实、合法、完整、有效。</w:t>
      </w:r>
    </w:p>
    <w:p w14:paraId="4C80D297">
      <w:pPr>
        <w:snapToGrid w:val="0"/>
        <w:spacing w:line="480" w:lineRule="auto"/>
        <w:ind w:firstLine="584"/>
        <w:jc w:val="left"/>
        <w:rPr>
          <w:rFonts w:ascii="楷体" w:hAnsi="楷体" w:eastAsia="楷体" w:cs="楷体"/>
          <w:color w:val="auto"/>
          <w:sz w:val="24"/>
          <w:szCs w:val="24"/>
          <w:highlight w:val="none"/>
        </w:rPr>
      </w:pPr>
    </w:p>
    <w:p w14:paraId="051BD422">
      <w:pPr>
        <w:snapToGrid w:val="0"/>
        <w:spacing w:line="480" w:lineRule="auto"/>
        <w:ind w:firstLine="600" w:firstLineChars="25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本授权书于     年   月   日签字生效，特此声明。</w:t>
      </w:r>
    </w:p>
    <w:p w14:paraId="17A5D7B3">
      <w:pPr>
        <w:spacing w:line="480" w:lineRule="auto"/>
        <w:ind w:firstLine="616" w:firstLineChars="257"/>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50509C1C">
      <w:pPr>
        <w:snapToGrid w:val="0"/>
        <w:spacing w:line="480" w:lineRule="auto"/>
        <w:ind w:firstLine="480" w:firstLineChars="200"/>
        <w:jc w:val="center"/>
        <w:rPr>
          <w:rFonts w:ascii="楷体" w:hAnsi="楷体" w:eastAsia="楷体" w:cs="楷体"/>
          <w:color w:val="auto"/>
          <w:sz w:val="24"/>
          <w:szCs w:val="24"/>
          <w:highlight w:val="none"/>
        </w:rPr>
      </w:pPr>
    </w:p>
    <w:p w14:paraId="3F81ACD9">
      <w:pPr>
        <w:snapToGrid w:val="0"/>
        <w:spacing w:line="480" w:lineRule="auto"/>
        <w:ind w:firstLine="480" w:firstLineChars="200"/>
        <w:jc w:val="center"/>
        <w:rPr>
          <w:rFonts w:ascii="楷体" w:hAnsi="楷体" w:eastAsia="楷体" w:cs="楷体"/>
          <w:color w:val="auto"/>
          <w:sz w:val="24"/>
          <w:szCs w:val="24"/>
          <w:highlight w:val="none"/>
        </w:rPr>
      </w:pPr>
    </w:p>
    <w:p w14:paraId="6CD0D007">
      <w:pPr>
        <w:snapToGrid w:val="0"/>
        <w:spacing w:line="480" w:lineRule="auto"/>
        <w:ind w:firstLine="480" w:firstLineChars="200"/>
        <w:jc w:val="center"/>
        <w:rPr>
          <w:rFonts w:ascii="楷体" w:hAnsi="楷体" w:eastAsia="楷体" w:cs="楷体"/>
          <w:color w:val="auto"/>
          <w:sz w:val="24"/>
          <w:szCs w:val="24"/>
          <w:highlight w:val="none"/>
        </w:rPr>
      </w:pPr>
    </w:p>
    <w:p w14:paraId="21C99C86">
      <w:pPr>
        <w:snapToGrid w:val="0"/>
        <w:spacing w:line="480" w:lineRule="auto"/>
        <w:ind w:firstLine="480" w:firstLineChars="20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4E867D72">
      <w:pPr>
        <w:snapToGrid w:val="0"/>
        <w:spacing w:line="560" w:lineRule="exact"/>
        <w:ind w:firstLine="480" w:firstLineChars="20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法定代表人(签字)：</w:t>
      </w:r>
    </w:p>
    <w:p w14:paraId="1887642B">
      <w:pPr>
        <w:snapToGrid w:val="0"/>
        <w:spacing w:line="560" w:lineRule="exact"/>
        <w:ind w:firstLine="480" w:firstLineChars="20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被授权人(签字)：</w:t>
      </w:r>
    </w:p>
    <w:p w14:paraId="1D1A92BA">
      <w:pPr>
        <w:snapToGrid w:val="0"/>
        <w:spacing w:line="560" w:lineRule="exact"/>
        <w:ind w:firstLine="480" w:firstLineChars="20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授权单位名称（盖章）</w:t>
      </w:r>
    </w:p>
    <w:p w14:paraId="1F7B9987">
      <w:pPr>
        <w:snapToGrid w:val="0"/>
        <w:spacing w:line="560" w:lineRule="exact"/>
        <w:ind w:firstLine="480" w:firstLineChars="200"/>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联系电话：</w:t>
      </w:r>
    </w:p>
    <w:p w14:paraId="63BD8D1C">
      <w:pPr>
        <w:rPr>
          <w:rFonts w:ascii="楷体" w:hAnsi="楷体" w:eastAsia="楷体" w:cs="楷体"/>
          <w:b/>
          <w:bCs/>
          <w:color w:val="auto"/>
          <w:kern w:val="44"/>
          <w:sz w:val="24"/>
          <w:szCs w:val="24"/>
          <w:highlight w:val="none"/>
        </w:rPr>
      </w:pPr>
    </w:p>
    <w:p w14:paraId="79DB466E">
      <w:pPr>
        <w:numPr>
          <w:ilvl w:val="0"/>
          <w:numId w:val="15"/>
        </w:numPr>
        <w:jc w:val="center"/>
        <w:rPr>
          <w:rFonts w:ascii="楷体" w:hAnsi="楷体" w:eastAsia="楷体" w:cs="楷体"/>
          <w:color w:val="auto"/>
          <w:sz w:val="24"/>
          <w:szCs w:val="24"/>
          <w:highlight w:val="none"/>
        </w:rPr>
      </w:pPr>
      <w:r>
        <w:rPr>
          <w:rFonts w:hint="eastAsia" w:ascii="楷体" w:hAnsi="楷体" w:eastAsia="楷体" w:cs="楷体"/>
          <w:b/>
          <w:bCs/>
          <w:color w:val="auto"/>
          <w:kern w:val="44"/>
          <w:sz w:val="24"/>
          <w:szCs w:val="24"/>
          <w:highlight w:val="none"/>
        </w:rPr>
        <w:br w:type="page"/>
      </w:r>
      <w:r>
        <w:rPr>
          <w:rFonts w:hint="eastAsia" w:ascii="楷体" w:hAnsi="楷体" w:eastAsia="楷体" w:cs="楷体"/>
          <w:b/>
          <w:bCs/>
          <w:color w:val="auto"/>
          <w:kern w:val="44"/>
          <w:sz w:val="24"/>
          <w:szCs w:val="24"/>
          <w:highlight w:val="none"/>
        </w:rPr>
        <w:t>无</w:t>
      </w:r>
      <w:r>
        <w:rPr>
          <w:rFonts w:hint="eastAsia" w:ascii="楷体" w:hAnsi="楷体" w:eastAsia="楷体" w:cs="楷体"/>
          <w:b/>
          <w:bCs/>
          <w:color w:val="auto"/>
          <w:sz w:val="24"/>
          <w:szCs w:val="24"/>
          <w:highlight w:val="none"/>
        </w:rPr>
        <w:t>重大违法记录声明函</w:t>
      </w:r>
    </w:p>
    <w:p w14:paraId="6C29F34D">
      <w:pPr>
        <w:pStyle w:val="29"/>
        <w:spacing w:line="360" w:lineRule="auto"/>
        <w:ind w:firstLine="480"/>
        <w:jc w:val="left"/>
        <w:rPr>
          <w:rFonts w:ascii="楷体" w:hAnsi="楷体" w:eastAsia="楷体" w:cs="楷体"/>
          <w:color w:val="auto"/>
          <w:sz w:val="24"/>
          <w:szCs w:val="24"/>
          <w:highlight w:val="none"/>
        </w:rPr>
      </w:pPr>
    </w:p>
    <w:p w14:paraId="2067CF3B">
      <w:pPr>
        <w:pStyle w:val="29"/>
        <w:spacing w:line="360" w:lineRule="auto"/>
        <w:ind w:firstLine="480"/>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近三年内参加过的政府采购和招投标活动中没有重大违法记录（提供声明函（格式自拟），供应商注册成立时间不足三年的，从注册时间起算），以下为格式参考：</w:t>
      </w:r>
    </w:p>
    <w:p w14:paraId="4985C075">
      <w:pPr>
        <w:pStyle w:val="29"/>
        <w:spacing w:line="360" w:lineRule="auto"/>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2B3520EC">
      <w:pPr>
        <w:pStyle w:val="29"/>
        <w:spacing w:line="360" w:lineRule="auto"/>
        <w:ind w:firstLine="0" w:firstLineChars="0"/>
        <w:jc w:val="center"/>
        <w:rPr>
          <w:rFonts w:ascii="楷体" w:hAnsi="楷体" w:eastAsia="楷体" w:cs="楷体"/>
          <w:b/>
          <w:bCs/>
          <w:color w:val="auto"/>
          <w:kern w:val="44"/>
          <w:sz w:val="32"/>
          <w:szCs w:val="32"/>
          <w:highlight w:val="none"/>
        </w:rPr>
      </w:pPr>
      <w:r>
        <w:rPr>
          <w:rFonts w:hint="eastAsia" w:ascii="楷体" w:hAnsi="楷体" w:eastAsia="楷体" w:cs="楷体"/>
          <w:b/>
          <w:bCs/>
          <w:color w:val="auto"/>
          <w:kern w:val="44"/>
          <w:sz w:val="32"/>
          <w:szCs w:val="32"/>
          <w:highlight w:val="none"/>
        </w:rPr>
        <w:t>声明函</w:t>
      </w:r>
    </w:p>
    <w:p w14:paraId="303CBE19">
      <w:pPr>
        <w:pStyle w:val="29"/>
        <w:spacing w:line="360" w:lineRule="auto"/>
        <w:ind w:firstLine="0" w:firstLineChars="0"/>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海南洋浦陆海能源发展有限公司 ：</w:t>
      </w:r>
    </w:p>
    <w:p w14:paraId="2555A00C">
      <w:pPr>
        <w:pStyle w:val="29"/>
        <w:spacing w:line="360" w:lineRule="auto"/>
        <w:ind w:firstLine="480"/>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问题。</w:t>
      </w:r>
    </w:p>
    <w:p w14:paraId="60E9B377">
      <w:pPr>
        <w:pStyle w:val="29"/>
        <w:spacing w:line="360" w:lineRule="auto"/>
        <w:ind w:firstLine="480"/>
        <w:jc w:val="lef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0096C489">
      <w:pPr>
        <w:pStyle w:val="29"/>
        <w:spacing w:line="360" w:lineRule="auto"/>
        <w:ind w:firstLine="0" w:firstLineChars="0"/>
        <w:jc w:val="left"/>
        <w:rPr>
          <w:rFonts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32FE6941">
      <w:pPr>
        <w:pStyle w:val="29"/>
        <w:spacing w:line="360" w:lineRule="auto"/>
        <w:ind w:firstLine="0" w:firstLineChars="0"/>
        <w:jc w:val="left"/>
        <w:rPr>
          <w:rFonts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65189FE7">
      <w:pPr>
        <w:pStyle w:val="29"/>
        <w:spacing w:line="360" w:lineRule="auto"/>
        <w:ind w:firstLine="0" w:firstLineChars="0"/>
        <w:jc w:val="left"/>
        <w:rPr>
          <w:rFonts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7CBB5C95">
      <w:pPr>
        <w:pStyle w:val="29"/>
        <w:spacing w:line="360" w:lineRule="auto"/>
        <w:ind w:firstLine="0" w:firstLineChars="0"/>
        <w:jc w:val="left"/>
        <w:rPr>
          <w:rFonts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3ADBCBCC">
      <w:pPr>
        <w:pStyle w:val="29"/>
        <w:spacing w:line="360" w:lineRule="auto"/>
        <w:ind w:firstLine="0" w:firstLineChars="0"/>
        <w:jc w:val="left"/>
        <w:rPr>
          <w:rFonts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1D261AC4">
      <w:pPr>
        <w:pStyle w:val="40"/>
        <w:spacing w:line="560" w:lineRule="exact"/>
        <w:ind w:firstLine="1200" w:firstLineChars="500"/>
        <w:jc w:val="center"/>
        <w:rPr>
          <w:rFonts w:ascii="楷体" w:hAnsi="楷体" w:eastAsia="楷体" w:cs="楷体"/>
          <w:color w:val="auto"/>
          <w:sz w:val="24"/>
          <w:szCs w:val="24"/>
          <w:highlight w:val="none"/>
        </w:rPr>
      </w:pPr>
      <w:r>
        <w:rPr>
          <w:rFonts w:hint="eastAsia" w:ascii="仿宋" w:hAnsi="仿宋" w:eastAsia="仿宋"/>
          <w:color w:val="auto"/>
          <w:sz w:val="24"/>
          <w:szCs w:val="24"/>
          <w:highlight w:val="none"/>
        </w:rPr>
        <w:t xml:space="preserve">               </w:t>
      </w:r>
      <w:r>
        <w:rPr>
          <w:rFonts w:hint="eastAsia" w:ascii="楷体" w:hAnsi="楷体" w:eastAsia="楷体" w:cs="楷体"/>
          <w:color w:val="auto"/>
          <w:sz w:val="24"/>
          <w:szCs w:val="24"/>
          <w:highlight w:val="none"/>
          <w:lang w:val="en-US" w:eastAsia="zh-CN"/>
        </w:rPr>
        <w:t>征集</w:t>
      </w:r>
      <w:r>
        <w:rPr>
          <w:rFonts w:hint="eastAsia" w:ascii="楷体" w:hAnsi="楷体" w:eastAsia="楷体" w:cs="楷体"/>
          <w:color w:val="auto"/>
          <w:sz w:val="24"/>
          <w:szCs w:val="24"/>
          <w:highlight w:val="none"/>
        </w:rPr>
        <w:t>单位：</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（盖章） </w:t>
      </w:r>
    </w:p>
    <w:p w14:paraId="59DD99E2">
      <w:pPr>
        <w:pStyle w:val="40"/>
        <w:spacing w:line="560" w:lineRule="exact"/>
        <w:ind w:firstLine="1200" w:firstLineChars="50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法定代表人或其被授权人：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（签字或盖章） </w:t>
      </w:r>
    </w:p>
    <w:p w14:paraId="25655449">
      <w:pPr>
        <w:pStyle w:val="40"/>
        <w:spacing w:line="560" w:lineRule="exact"/>
        <w:ind w:firstLine="482"/>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日     期：       年    月    日</w:t>
      </w:r>
    </w:p>
    <w:p w14:paraId="3B5F3E8D">
      <w:pPr>
        <w:pStyle w:val="29"/>
        <w:spacing w:line="360" w:lineRule="auto"/>
        <w:ind w:firstLine="0" w:firstLineChars="0"/>
        <w:jc w:val="left"/>
        <w:rPr>
          <w:rFonts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4FEF6C61">
      <w:pPr>
        <w:pStyle w:val="29"/>
        <w:spacing w:line="360" w:lineRule="auto"/>
        <w:ind w:firstLine="0" w:firstLineChars="0"/>
        <w:jc w:val="left"/>
        <w:rPr>
          <w:rFonts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2F1DB82E">
      <w:pPr>
        <w:pStyle w:val="29"/>
        <w:spacing w:line="360" w:lineRule="auto"/>
        <w:ind w:firstLine="0" w:firstLineChars="0"/>
        <w:jc w:val="left"/>
        <w:rPr>
          <w:rFonts w:ascii="仿宋" w:hAnsi="仿宋" w:eastAsia="仿宋"/>
          <w:color w:val="auto"/>
          <w:kern w:val="44"/>
          <w:sz w:val="24"/>
          <w:szCs w:val="24"/>
          <w:highlight w:val="none"/>
        </w:rPr>
      </w:pPr>
    </w:p>
    <w:p w14:paraId="222F889E">
      <w:pPr>
        <w:pStyle w:val="40"/>
        <w:spacing w:line="360" w:lineRule="auto"/>
        <w:rPr>
          <w:rFonts w:ascii="仿宋" w:hAnsi="仿宋" w:eastAsia="仿宋" w:cs="黑体"/>
          <w:b/>
          <w:color w:val="auto"/>
          <w:kern w:val="0"/>
          <w:sz w:val="24"/>
          <w:szCs w:val="24"/>
          <w:highlight w:val="none"/>
        </w:rPr>
      </w:pPr>
    </w:p>
    <w:p w14:paraId="4461EAEB">
      <w:pPr>
        <w:pStyle w:val="40"/>
        <w:spacing w:line="360" w:lineRule="auto"/>
        <w:rPr>
          <w:rFonts w:ascii="仿宋" w:hAnsi="仿宋" w:eastAsia="仿宋" w:cs="黑体"/>
          <w:b/>
          <w:color w:val="auto"/>
          <w:kern w:val="0"/>
          <w:sz w:val="24"/>
          <w:szCs w:val="24"/>
          <w:highlight w:val="none"/>
        </w:rPr>
      </w:pPr>
    </w:p>
    <w:p w14:paraId="7B7E0EA3">
      <w:pPr>
        <w:pStyle w:val="40"/>
        <w:spacing w:line="360" w:lineRule="auto"/>
        <w:rPr>
          <w:rFonts w:ascii="楷体" w:hAnsi="楷体" w:eastAsia="楷体" w:cs="楷体"/>
          <w:b/>
          <w:color w:val="auto"/>
          <w:kern w:val="0"/>
          <w:sz w:val="24"/>
          <w:szCs w:val="24"/>
          <w:highlight w:val="none"/>
        </w:rPr>
      </w:pPr>
      <w:r>
        <w:rPr>
          <w:rFonts w:hint="eastAsia" w:ascii="楷体" w:hAnsi="楷体" w:eastAsia="楷体" w:cs="楷体"/>
          <w:b/>
          <w:color w:val="auto"/>
          <w:kern w:val="0"/>
          <w:sz w:val="24"/>
          <w:szCs w:val="24"/>
          <w:highlight w:val="none"/>
        </w:rPr>
        <w:t>附截图（需盖章）：</w:t>
      </w:r>
    </w:p>
    <w:p w14:paraId="2E04782E">
      <w:pPr>
        <w:rPr>
          <w:rFonts w:ascii="楷体" w:hAnsi="楷体" w:eastAsia="楷体" w:cs="楷体"/>
          <w:b/>
          <w:bCs/>
          <w:color w:val="auto"/>
          <w:kern w:val="44"/>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INCLUDEPICTURE "C:\\Users\\Lenovo\\AppData\\Local\\Temp\\ksohtml11256\\wps1.jpg" \* MERGEFORMATINET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drawing>
          <wp:inline distT="0" distB="0" distL="114300" distR="114300">
            <wp:extent cx="5708650" cy="3796665"/>
            <wp:effectExtent l="0" t="0" r="6350" b="1333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inline>
        </w:drawing>
      </w:r>
      <w:r>
        <w:rPr>
          <w:rFonts w:ascii="仿宋" w:hAnsi="仿宋" w:eastAsia="仿宋"/>
          <w:color w:val="auto"/>
          <w:sz w:val="24"/>
          <w:szCs w:val="24"/>
          <w:highlight w:val="none"/>
        </w:rPr>
        <w:fldChar w:fldCharType="end"/>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INCLUDEPICTURE "C:\\Users\\Lenovo\\AppData\\Local\\Temp\\ksohtml11256\\wps2.jpg" \* MERGEFORMATINET </w:instrText>
      </w:r>
      <w:r>
        <w:rPr>
          <w:rFonts w:ascii="仿宋" w:hAnsi="仿宋" w:eastAsia="仿宋"/>
          <w:color w:val="auto"/>
          <w:sz w:val="24"/>
          <w:highlight w:val="none"/>
        </w:rPr>
        <w:fldChar w:fldCharType="separate"/>
      </w:r>
      <w:r>
        <w:rPr>
          <w:rFonts w:ascii="仿宋" w:hAnsi="仿宋" w:eastAsia="仿宋"/>
          <w:color w:val="auto"/>
          <w:sz w:val="24"/>
          <w:highlight w:val="none"/>
        </w:rPr>
        <w:drawing>
          <wp:inline distT="0" distB="0" distL="114300" distR="114300">
            <wp:extent cx="5796280" cy="3346450"/>
            <wp:effectExtent l="0" t="0" r="13970" b="6350"/>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inline>
        </w:drawing>
      </w:r>
      <w:r>
        <w:rPr>
          <w:rFonts w:ascii="仿宋" w:hAnsi="仿宋" w:eastAsia="仿宋"/>
          <w:color w:val="auto"/>
          <w:sz w:val="24"/>
          <w:highlight w:val="none"/>
        </w:rPr>
        <w:fldChar w:fldCharType="end"/>
      </w:r>
    </w:p>
    <w:p w14:paraId="7C834503">
      <w:pPr>
        <w:rPr>
          <w:rFonts w:ascii="楷体" w:hAnsi="楷体" w:eastAsia="楷体" w:cs="楷体"/>
          <w:b/>
          <w:bCs/>
          <w:color w:val="auto"/>
          <w:kern w:val="44"/>
          <w:sz w:val="24"/>
          <w:szCs w:val="24"/>
          <w:highlight w:val="none"/>
        </w:rPr>
      </w:pPr>
      <w:r>
        <w:rPr>
          <w:rFonts w:hint="eastAsia" w:ascii="楷体" w:hAnsi="楷体" w:eastAsia="楷体" w:cs="楷体"/>
          <w:b/>
          <w:bCs/>
          <w:color w:val="auto"/>
          <w:kern w:val="44"/>
          <w:sz w:val="24"/>
          <w:szCs w:val="24"/>
          <w:highlight w:val="none"/>
        </w:rPr>
        <w:br w:type="page"/>
      </w:r>
    </w:p>
    <w:p w14:paraId="52FB8F28">
      <w:pPr>
        <w:numPr>
          <w:ilvl w:val="0"/>
          <w:numId w:val="15"/>
        </w:numPr>
        <w:spacing w:line="400" w:lineRule="exact"/>
        <w:jc w:val="center"/>
        <w:outlineLvl w:val="1"/>
        <w:rPr>
          <w:rFonts w:ascii="楷体" w:hAnsi="楷体" w:eastAsia="楷体" w:cs="楷体"/>
          <w:b/>
          <w:bCs/>
          <w:color w:val="auto"/>
          <w:kern w:val="44"/>
          <w:sz w:val="24"/>
          <w:szCs w:val="24"/>
          <w:highlight w:val="none"/>
        </w:rPr>
      </w:pPr>
      <w:r>
        <w:rPr>
          <w:rFonts w:hint="eastAsia" w:ascii="楷体" w:hAnsi="楷体" w:eastAsia="楷体" w:cs="楷体"/>
          <w:b/>
          <w:bCs/>
          <w:color w:val="auto"/>
          <w:kern w:val="44"/>
          <w:sz w:val="24"/>
          <w:szCs w:val="24"/>
          <w:highlight w:val="none"/>
        </w:rPr>
        <w:t>其他文件（</w:t>
      </w:r>
      <w:r>
        <w:rPr>
          <w:rFonts w:hint="eastAsia" w:ascii="楷体" w:hAnsi="楷体" w:eastAsia="楷体" w:cs="楷体"/>
          <w:b/>
          <w:bCs/>
          <w:color w:val="auto"/>
          <w:kern w:val="44"/>
          <w:sz w:val="24"/>
          <w:szCs w:val="24"/>
          <w:highlight w:val="none"/>
          <w:lang w:val="en-US" w:eastAsia="zh-CN"/>
        </w:rPr>
        <w:t>征集单位</w:t>
      </w:r>
      <w:r>
        <w:rPr>
          <w:rFonts w:hint="eastAsia" w:ascii="楷体" w:hAnsi="楷体" w:eastAsia="楷体" w:cs="楷体"/>
          <w:b/>
          <w:bCs/>
          <w:color w:val="auto"/>
          <w:kern w:val="44"/>
          <w:sz w:val="24"/>
          <w:szCs w:val="24"/>
          <w:highlight w:val="none"/>
        </w:rPr>
        <w:t>认为应提供的其他文件，如营业执照等）</w:t>
      </w: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82D57"/>
    <w:multiLevelType w:val="singleLevel"/>
    <w:tmpl w:val="90A82D57"/>
    <w:lvl w:ilvl="0" w:tentative="0">
      <w:start w:val="1"/>
      <w:numFmt w:val="decimal"/>
      <w:lvlText w:val="%1."/>
      <w:lvlJc w:val="left"/>
      <w:pPr>
        <w:ind w:left="425" w:hanging="425"/>
      </w:pPr>
      <w:rPr>
        <w:rFonts w:hint="default"/>
      </w:rPr>
    </w:lvl>
  </w:abstractNum>
  <w:abstractNum w:abstractNumId="1">
    <w:nsid w:val="A582E0C8"/>
    <w:multiLevelType w:val="singleLevel"/>
    <w:tmpl w:val="A582E0C8"/>
    <w:lvl w:ilvl="0" w:tentative="0">
      <w:start w:val="14"/>
      <w:numFmt w:val="chineseCounting"/>
      <w:suff w:val="space"/>
      <w:lvlText w:val="第%1条"/>
      <w:lvlJc w:val="left"/>
      <w:rPr>
        <w:rFonts w:hint="eastAsia"/>
      </w:rPr>
    </w:lvl>
  </w:abstractNum>
  <w:abstractNum w:abstractNumId="2">
    <w:nsid w:val="A7627690"/>
    <w:multiLevelType w:val="singleLevel"/>
    <w:tmpl w:val="A7627690"/>
    <w:lvl w:ilvl="0" w:tentative="0">
      <w:start w:val="1"/>
      <w:numFmt w:val="decimal"/>
      <w:lvlText w:val="%1."/>
      <w:lvlJc w:val="left"/>
      <w:pPr>
        <w:ind w:left="425" w:hanging="425"/>
      </w:pPr>
      <w:rPr>
        <w:rFonts w:hint="default"/>
      </w:rPr>
    </w:lvl>
  </w:abstractNum>
  <w:abstractNum w:abstractNumId="3">
    <w:nsid w:val="D87BAF02"/>
    <w:multiLevelType w:val="singleLevel"/>
    <w:tmpl w:val="D87BAF02"/>
    <w:lvl w:ilvl="0" w:tentative="0">
      <w:start w:val="1"/>
      <w:numFmt w:val="decimal"/>
      <w:lvlText w:val="%1."/>
      <w:lvlJc w:val="left"/>
      <w:pPr>
        <w:ind w:left="425" w:hanging="425"/>
      </w:pPr>
      <w:rPr>
        <w:rFonts w:hint="default"/>
      </w:rPr>
    </w:lvl>
  </w:abstractNum>
  <w:abstractNum w:abstractNumId="4">
    <w:nsid w:val="DA0835D9"/>
    <w:multiLevelType w:val="singleLevel"/>
    <w:tmpl w:val="DA0835D9"/>
    <w:lvl w:ilvl="0" w:tentative="0">
      <w:start w:val="1"/>
      <w:numFmt w:val="decimal"/>
      <w:lvlText w:val="%1."/>
      <w:lvlJc w:val="left"/>
      <w:pPr>
        <w:ind w:left="425" w:hanging="425"/>
      </w:pPr>
      <w:rPr>
        <w:rFonts w:hint="default"/>
      </w:rPr>
    </w:lvl>
  </w:abstractNum>
  <w:abstractNum w:abstractNumId="5">
    <w:nsid w:val="EABE6F47"/>
    <w:multiLevelType w:val="singleLevel"/>
    <w:tmpl w:val="EABE6F47"/>
    <w:lvl w:ilvl="0" w:tentative="0">
      <w:start w:val="1"/>
      <w:numFmt w:val="chineseCounting"/>
      <w:suff w:val="nothing"/>
      <w:lvlText w:val="%1、"/>
      <w:lvlJc w:val="left"/>
      <w:pPr>
        <w:ind w:left="0" w:firstLine="420"/>
      </w:pPr>
      <w:rPr>
        <w:rFonts w:hint="eastAsia"/>
        <w:b/>
        <w:bCs/>
      </w:rPr>
    </w:lvl>
  </w:abstractNum>
  <w:abstractNum w:abstractNumId="6">
    <w:nsid w:val="FBF384DF"/>
    <w:multiLevelType w:val="singleLevel"/>
    <w:tmpl w:val="FBF384DF"/>
    <w:lvl w:ilvl="0" w:tentative="0">
      <w:start w:val="1"/>
      <w:numFmt w:val="decimal"/>
      <w:lvlText w:val="%1."/>
      <w:lvlJc w:val="left"/>
      <w:pPr>
        <w:ind w:left="425" w:hanging="425"/>
      </w:pPr>
      <w:rPr>
        <w:rFonts w:hint="default"/>
        <w:color w:val="auto"/>
      </w:rPr>
    </w:lvl>
  </w:abstractNum>
  <w:abstractNum w:abstractNumId="7">
    <w:nsid w:val="0BE2F557"/>
    <w:multiLevelType w:val="singleLevel"/>
    <w:tmpl w:val="0BE2F557"/>
    <w:lvl w:ilvl="0" w:tentative="0">
      <w:start w:val="1"/>
      <w:numFmt w:val="decimal"/>
      <w:lvlText w:val="%1."/>
      <w:lvlJc w:val="left"/>
      <w:pPr>
        <w:ind w:left="425" w:hanging="425"/>
      </w:pPr>
      <w:rPr>
        <w:rFonts w:hint="default"/>
      </w:rPr>
    </w:lvl>
  </w:abstractNum>
  <w:abstractNum w:abstractNumId="8">
    <w:nsid w:val="0BF9BCEA"/>
    <w:multiLevelType w:val="singleLevel"/>
    <w:tmpl w:val="0BF9BCEA"/>
    <w:lvl w:ilvl="0" w:tentative="0">
      <w:start w:val="1"/>
      <w:numFmt w:val="decimal"/>
      <w:lvlText w:val="%1."/>
      <w:lvlJc w:val="left"/>
      <w:pPr>
        <w:ind w:left="425" w:hanging="425"/>
      </w:pPr>
      <w:rPr>
        <w:rFonts w:hint="default"/>
      </w:rPr>
    </w:lvl>
  </w:abstractNum>
  <w:abstractNum w:abstractNumId="9">
    <w:nsid w:val="12AFB1AC"/>
    <w:multiLevelType w:val="singleLevel"/>
    <w:tmpl w:val="12AFB1AC"/>
    <w:lvl w:ilvl="0" w:tentative="0">
      <w:start w:val="1"/>
      <w:numFmt w:val="decimal"/>
      <w:lvlText w:val="%1."/>
      <w:lvlJc w:val="left"/>
      <w:pPr>
        <w:ind w:left="425" w:hanging="425"/>
      </w:pPr>
      <w:rPr>
        <w:rFonts w:hint="default"/>
      </w:rPr>
    </w:lvl>
  </w:abstractNum>
  <w:abstractNum w:abstractNumId="10">
    <w:nsid w:val="302340C9"/>
    <w:multiLevelType w:val="singleLevel"/>
    <w:tmpl w:val="302340C9"/>
    <w:lvl w:ilvl="0" w:tentative="0">
      <w:start w:val="1"/>
      <w:numFmt w:val="decimal"/>
      <w:lvlText w:val="%1."/>
      <w:lvlJc w:val="left"/>
      <w:pPr>
        <w:ind w:left="425" w:hanging="425"/>
      </w:pPr>
      <w:rPr>
        <w:rFonts w:hint="default"/>
      </w:rPr>
    </w:lvl>
  </w:abstractNum>
  <w:abstractNum w:abstractNumId="11">
    <w:nsid w:val="358447E3"/>
    <w:multiLevelType w:val="multilevel"/>
    <w:tmpl w:val="358447E3"/>
    <w:lvl w:ilvl="0" w:tentative="0">
      <w:start w:val="1"/>
      <w:numFmt w:val="japaneseCounting"/>
      <w:lvlText w:val="第%1条"/>
      <w:lvlJc w:val="left"/>
      <w:pPr>
        <w:ind w:left="990" w:hanging="99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2">
    <w:nsid w:val="41483988"/>
    <w:multiLevelType w:val="multilevel"/>
    <w:tmpl w:val="41483988"/>
    <w:lvl w:ilvl="0" w:tentative="0">
      <w:start w:val="1"/>
      <w:numFmt w:val="japaneseCounting"/>
      <w:lvlText w:val="第%1章"/>
      <w:lvlJc w:val="left"/>
      <w:pPr>
        <w:ind w:left="765" w:hanging="765"/>
      </w:pPr>
      <w:rPr>
        <w:rFonts w:hint="eastAsia"/>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4B9306"/>
    <w:multiLevelType w:val="singleLevel"/>
    <w:tmpl w:val="594B9306"/>
    <w:lvl w:ilvl="0" w:tentative="0">
      <w:start w:val="1"/>
      <w:numFmt w:val="decimal"/>
      <w:lvlText w:val="%1."/>
      <w:lvlJc w:val="left"/>
      <w:pPr>
        <w:ind w:left="425" w:hanging="425"/>
      </w:pPr>
      <w:rPr>
        <w:rFonts w:hint="default"/>
      </w:rPr>
    </w:lvl>
  </w:abstractNum>
  <w:abstractNum w:abstractNumId="14">
    <w:nsid w:val="5F48440D"/>
    <w:multiLevelType w:val="singleLevel"/>
    <w:tmpl w:val="5F48440D"/>
    <w:lvl w:ilvl="0" w:tentative="0">
      <w:start w:val="1"/>
      <w:numFmt w:val="decimal"/>
      <w:lvlText w:val="%1."/>
      <w:lvlJc w:val="left"/>
      <w:pPr>
        <w:ind w:left="425" w:hanging="425"/>
      </w:pPr>
      <w:rPr>
        <w:rFonts w:hint="default"/>
      </w:rPr>
    </w:lvl>
  </w:abstractNum>
  <w:num w:numId="1">
    <w:abstractNumId w:val="12"/>
  </w:num>
  <w:num w:numId="2">
    <w:abstractNumId w:val="11"/>
  </w:num>
  <w:num w:numId="3">
    <w:abstractNumId w:val="0"/>
  </w:num>
  <w:num w:numId="4">
    <w:abstractNumId w:val="10"/>
  </w:num>
  <w:num w:numId="5">
    <w:abstractNumId w:val="13"/>
  </w:num>
  <w:num w:numId="6">
    <w:abstractNumId w:val="7"/>
  </w:num>
  <w:num w:numId="7">
    <w:abstractNumId w:val="9"/>
  </w:num>
  <w:num w:numId="8">
    <w:abstractNumId w:val="6"/>
  </w:num>
  <w:num w:numId="9">
    <w:abstractNumId w:val="14"/>
  </w:num>
  <w:num w:numId="10">
    <w:abstractNumId w:val="8"/>
  </w:num>
  <w:num w:numId="11">
    <w:abstractNumId w:val="4"/>
  </w:num>
  <w:num w:numId="12">
    <w:abstractNumId w:val="3"/>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zc4NGVhNGQ0MzhiMjFiYjBhNmE5NTVkYWNkYmJmZmUifQ=="/>
  </w:docVars>
  <w:rsids>
    <w:rsidRoot w:val="00172A27"/>
    <w:rsid w:val="000322C8"/>
    <w:rsid w:val="00041E07"/>
    <w:rsid w:val="000551DA"/>
    <w:rsid w:val="0005652E"/>
    <w:rsid w:val="0007388E"/>
    <w:rsid w:val="000A07BA"/>
    <w:rsid w:val="000B6C1B"/>
    <w:rsid w:val="000C2EE7"/>
    <w:rsid w:val="0012048B"/>
    <w:rsid w:val="001625F2"/>
    <w:rsid w:val="00165A1D"/>
    <w:rsid w:val="00172A27"/>
    <w:rsid w:val="00235DAB"/>
    <w:rsid w:val="00256431"/>
    <w:rsid w:val="002D53C0"/>
    <w:rsid w:val="002E3CD7"/>
    <w:rsid w:val="00305FCC"/>
    <w:rsid w:val="003A4D14"/>
    <w:rsid w:val="004036CE"/>
    <w:rsid w:val="004345E5"/>
    <w:rsid w:val="00445F3F"/>
    <w:rsid w:val="00465E43"/>
    <w:rsid w:val="004B0AF2"/>
    <w:rsid w:val="004F490E"/>
    <w:rsid w:val="00527642"/>
    <w:rsid w:val="00581D8A"/>
    <w:rsid w:val="00590FF7"/>
    <w:rsid w:val="005C0A99"/>
    <w:rsid w:val="005C3DEF"/>
    <w:rsid w:val="005C75A3"/>
    <w:rsid w:val="005E7B4D"/>
    <w:rsid w:val="00604E52"/>
    <w:rsid w:val="00612820"/>
    <w:rsid w:val="00614CD5"/>
    <w:rsid w:val="00696F1C"/>
    <w:rsid w:val="006D61F0"/>
    <w:rsid w:val="007434AE"/>
    <w:rsid w:val="0078304F"/>
    <w:rsid w:val="007A3384"/>
    <w:rsid w:val="007E11FF"/>
    <w:rsid w:val="00823B3B"/>
    <w:rsid w:val="00827613"/>
    <w:rsid w:val="0084405B"/>
    <w:rsid w:val="008F0597"/>
    <w:rsid w:val="009027D9"/>
    <w:rsid w:val="009176C7"/>
    <w:rsid w:val="009579B0"/>
    <w:rsid w:val="00960906"/>
    <w:rsid w:val="00971EBC"/>
    <w:rsid w:val="00981CC8"/>
    <w:rsid w:val="009F64F3"/>
    <w:rsid w:val="00A5311F"/>
    <w:rsid w:val="00A741E6"/>
    <w:rsid w:val="00AA27D4"/>
    <w:rsid w:val="00AB0FB9"/>
    <w:rsid w:val="00AB6707"/>
    <w:rsid w:val="00AE02D7"/>
    <w:rsid w:val="00B055BC"/>
    <w:rsid w:val="00B1773F"/>
    <w:rsid w:val="00B3767C"/>
    <w:rsid w:val="00B51A55"/>
    <w:rsid w:val="00B72181"/>
    <w:rsid w:val="00B76B04"/>
    <w:rsid w:val="00C55FAD"/>
    <w:rsid w:val="00C84769"/>
    <w:rsid w:val="00CE0085"/>
    <w:rsid w:val="00CE5498"/>
    <w:rsid w:val="00CE6D10"/>
    <w:rsid w:val="00D14A8E"/>
    <w:rsid w:val="00D348D1"/>
    <w:rsid w:val="00D4048F"/>
    <w:rsid w:val="00D717B5"/>
    <w:rsid w:val="00DA2AE9"/>
    <w:rsid w:val="00E2384C"/>
    <w:rsid w:val="00E4294A"/>
    <w:rsid w:val="00E512AC"/>
    <w:rsid w:val="00E70A14"/>
    <w:rsid w:val="00ED7AB7"/>
    <w:rsid w:val="00F30767"/>
    <w:rsid w:val="00F43B19"/>
    <w:rsid w:val="00F525C9"/>
    <w:rsid w:val="00F97405"/>
    <w:rsid w:val="01007893"/>
    <w:rsid w:val="010166C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579F5"/>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56459"/>
    <w:rsid w:val="030A27A5"/>
    <w:rsid w:val="030A5E0C"/>
    <w:rsid w:val="03173959"/>
    <w:rsid w:val="03215A31"/>
    <w:rsid w:val="032711A2"/>
    <w:rsid w:val="035C1B9B"/>
    <w:rsid w:val="038C33CC"/>
    <w:rsid w:val="03AE3097"/>
    <w:rsid w:val="03B835CB"/>
    <w:rsid w:val="03D374CA"/>
    <w:rsid w:val="03D7388C"/>
    <w:rsid w:val="03DD306A"/>
    <w:rsid w:val="03E92771"/>
    <w:rsid w:val="03ED042C"/>
    <w:rsid w:val="04016E45"/>
    <w:rsid w:val="04512A9A"/>
    <w:rsid w:val="045F7637"/>
    <w:rsid w:val="04647342"/>
    <w:rsid w:val="047B2FED"/>
    <w:rsid w:val="0480069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62104D"/>
    <w:rsid w:val="057766D7"/>
    <w:rsid w:val="05800CAE"/>
    <w:rsid w:val="05964237"/>
    <w:rsid w:val="05A07863"/>
    <w:rsid w:val="05AA0535"/>
    <w:rsid w:val="05BA56F5"/>
    <w:rsid w:val="05C00463"/>
    <w:rsid w:val="05CA70D4"/>
    <w:rsid w:val="05D81EC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5F5104"/>
    <w:rsid w:val="07826A4B"/>
    <w:rsid w:val="0786439E"/>
    <w:rsid w:val="07A7438A"/>
    <w:rsid w:val="07BF12C2"/>
    <w:rsid w:val="07C6738E"/>
    <w:rsid w:val="07E74A05"/>
    <w:rsid w:val="084F59DE"/>
    <w:rsid w:val="08667051"/>
    <w:rsid w:val="087D7EB4"/>
    <w:rsid w:val="087E2542"/>
    <w:rsid w:val="088038FF"/>
    <w:rsid w:val="08816951"/>
    <w:rsid w:val="08852E3A"/>
    <w:rsid w:val="08B140CE"/>
    <w:rsid w:val="08B54AD9"/>
    <w:rsid w:val="08B651F8"/>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840B51"/>
    <w:rsid w:val="0A8837C8"/>
    <w:rsid w:val="0A8B04DC"/>
    <w:rsid w:val="0A9F717D"/>
    <w:rsid w:val="0AA9161C"/>
    <w:rsid w:val="0AAD3BA1"/>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D63719"/>
    <w:rsid w:val="0BE679DE"/>
    <w:rsid w:val="0BFF0784"/>
    <w:rsid w:val="0C177C63"/>
    <w:rsid w:val="0C6D1CF5"/>
    <w:rsid w:val="0C6E5BE8"/>
    <w:rsid w:val="0C885FA2"/>
    <w:rsid w:val="0CA47578"/>
    <w:rsid w:val="0CA965DD"/>
    <w:rsid w:val="0CBF4BF8"/>
    <w:rsid w:val="0D095E08"/>
    <w:rsid w:val="0D170060"/>
    <w:rsid w:val="0D240477"/>
    <w:rsid w:val="0D3D4B21"/>
    <w:rsid w:val="0D3E1166"/>
    <w:rsid w:val="0D500C64"/>
    <w:rsid w:val="0D583AF2"/>
    <w:rsid w:val="0D587A08"/>
    <w:rsid w:val="0D5B2DEF"/>
    <w:rsid w:val="0D5E7BE0"/>
    <w:rsid w:val="0D773C1E"/>
    <w:rsid w:val="0D7C4DD5"/>
    <w:rsid w:val="0D7E3D32"/>
    <w:rsid w:val="0D80557A"/>
    <w:rsid w:val="0D9D79B0"/>
    <w:rsid w:val="0DA22DAC"/>
    <w:rsid w:val="0DBA2892"/>
    <w:rsid w:val="0DD359BA"/>
    <w:rsid w:val="0DE005F5"/>
    <w:rsid w:val="0DF74DCF"/>
    <w:rsid w:val="0DF8260B"/>
    <w:rsid w:val="0DF96D54"/>
    <w:rsid w:val="0E160A26"/>
    <w:rsid w:val="0E2D7D0A"/>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EC5C5A"/>
    <w:rsid w:val="10F11A11"/>
    <w:rsid w:val="11105771"/>
    <w:rsid w:val="111E5122"/>
    <w:rsid w:val="112315AA"/>
    <w:rsid w:val="11236961"/>
    <w:rsid w:val="112D573C"/>
    <w:rsid w:val="112E2B27"/>
    <w:rsid w:val="11352AC3"/>
    <w:rsid w:val="113B7FFB"/>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014BAC"/>
    <w:rsid w:val="12111232"/>
    <w:rsid w:val="122F07E2"/>
    <w:rsid w:val="12472D11"/>
    <w:rsid w:val="12697AD8"/>
    <w:rsid w:val="12974DAB"/>
    <w:rsid w:val="129B7938"/>
    <w:rsid w:val="12AB39AF"/>
    <w:rsid w:val="12CF6944"/>
    <w:rsid w:val="12D05063"/>
    <w:rsid w:val="12D31474"/>
    <w:rsid w:val="12F266AE"/>
    <w:rsid w:val="12F40DF6"/>
    <w:rsid w:val="12FE713F"/>
    <w:rsid w:val="130377D4"/>
    <w:rsid w:val="13191A65"/>
    <w:rsid w:val="1322619E"/>
    <w:rsid w:val="133B4F6A"/>
    <w:rsid w:val="13435E6F"/>
    <w:rsid w:val="13581549"/>
    <w:rsid w:val="13704600"/>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91FF9"/>
    <w:rsid w:val="14A37DD1"/>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B04D8F"/>
    <w:rsid w:val="16C873EC"/>
    <w:rsid w:val="16EF24B1"/>
    <w:rsid w:val="16F127B2"/>
    <w:rsid w:val="16F8590B"/>
    <w:rsid w:val="16FB645D"/>
    <w:rsid w:val="1702763A"/>
    <w:rsid w:val="1703454E"/>
    <w:rsid w:val="171112E5"/>
    <w:rsid w:val="17192051"/>
    <w:rsid w:val="17213AFE"/>
    <w:rsid w:val="1724738B"/>
    <w:rsid w:val="17460232"/>
    <w:rsid w:val="175E3962"/>
    <w:rsid w:val="176A7CB6"/>
    <w:rsid w:val="17882F0B"/>
    <w:rsid w:val="17922031"/>
    <w:rsid w:val="17944621"/>
    <w:rsid w:val="179E18E9"/>
    <w:rsid w:val="17AB31BB"/>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A50454"/>
    <w:rsid w:val="18C36111"/>
    <w:rsid w:val="18DE2ED2"/>
    <w:rsid w:val="18E06F8D"/>
    <w:rsid w:val="18E21560"/>
    <w:rsid w:val="18EB5025"/>
    <w:rsid w:val="19025614"/>
    <w:rsid w:val="190742CD"/>
    <w:rsid w:val="190D36A9"/>
    <w:rsid w:val="191E50DF"/>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341559"/>
    <w:rsid w:val="1A4E5D2F"/>
    <w:rsid w:val="1A6626E5"/>
    <w:rsid w:val="1A75575B"/>
    <w:rsid w:val="1A7D0090"/>
    <w:rsid w:val="1AB319BE"/>
    <w:rsid w:val="1AC86C40"/>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4635BD"/>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A96D4C"/>
    <w:rsid w:val="20D00624"/>
    <w:rsid w:val="20F64A35"/>
    <w:rsid w:val="20FA3CE2"/>
    <w:rsid w:val="210D1A49"/>
    <w:rsid w:val="211C305E"/>
    <w:rsid w:val="2136498B"/>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8E3920"/>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1E3246"/>
    <w:rsid w:val="252044A2"/>
    <w:rsid w:val="25237319"/>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22F4C"/>
    <w:rsid w:val="28387423"/>
    <w:rsid w:val="283D0324"/>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B172BB"/>
    <w:rsid w:val="2BBC513B"/>
    <w:rsid w:val="2BCD376E"/>
    <w:rsid w:val="2C006140"/>
    <w:rsid w:val="2C0A0C4E"/>
    <w:rsid w:val="2C0B282E"/>
    <w:rsid w:val="2C1650BD"/>
    <w:rsid w:val="2C1959E5"/>
    <w:rsid w:val="2C4B77C7"/>
    <w:rsid w:val="2C5867CF"/>
    <w:rsid w:val="2C63351D"/>
    <w:rsid w:val="2C6F1903"/>
    <w:rsid w:val="2C7033D4"/>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0A7D"/>
    <w:rsid w:val="2DDD4A49"/>
    <w:rsid w:val="2E0F1B63"/>
    <w:rsid w:val="2E1135A2"/>
    <w:rsid w:val="2E142328"/>
    <w:rsid w:val="2E1C2A3A"/>
    <w:rsid w:val="2E21163E"/>
    <w:rsid w:val="2E2A5F9E"/>
    <w:rsid w:val="2E3424AE"/>
    <w:rsid w:val="2E81295C"/>
    <w:rsid w:val="2E855ADF"/>
    <w:rsid w:val="2E90145A"/>
    <w:rsid w:val="2E9B555A"/>
    <w:rsid w:val="2EA15034"/>
    <w:rsid w:val="2EC47C6B"/>
    <w:rsid w:val="2EE161F9"/>
    <w:rsid w:val="2EE267D3"/>
    <w:rsid w:val="2EEE550E"/>
    <w:rsid w:val="2EFA1321"/>
    <w:rsid w:val="2F0C123B"/>
    <w:rsid w:val="2F104EF5"/>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1FD3AFD"/>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5F0474"/>
    <w:rsid w:val="34625CCF"/>
    <w:rsid w:val="349A5993"/>
    <w:rsid w:val="34A53B7D"/>
    <w:rsid w:val="34A7725C"/>
    <w:rsid w:val="34A83610"/>
    <w:rsid w:val="34CA6229"/>
    <w:rsid w:val="34D1759B"/>
    <w:rsid w:val="34DF294B"/>
    <w:rsid w:val="34F47564"/>
    <w:rsid w:val="34F66634"/>
    <w:rsid w:val="34FD1A96"/>
    <w:rsid w:val="35060547"/>
    <w:rsid w:val="350A555B"/>
    <w:rsid w:val="350F1170"/>
    <w:rsid w:val="35131DE4"/>
    <w:rsid w:val="35254F3A"/>
    <w:rsid w:val="352759D1"/>
    <w:rsid w:val="3532359C"/>
    <w:rsid w:val="35354668"/>
    <w:rsid w:val="353A6050"/>
    <w:rsid w:val="354040E2"/>
    <w:rsid w:val="355C3599"/>
    <w:rsid w:val="356928AF"/>
    <w:rsid w:val="357C78DE"/>
    <w:rsid w:val="35800436"/>
    <w:rsid w:val="358579DE"/>
    <w:rsid w:val="358C575A"/>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B7A6D"/>
    <w:rsid w:val="38AC3066"/>
    <w:rsid w:val="38AC436C"/>
    <w:rsid w:val="38B87B6E"/>
    <w:rsid w:val="38BF0F3E"/>
    <w:rsid w:val="38C95ED9"/>
    <w:rsid w:val="38CA300C"/>
    <w:rsid w:val="38D06594"/>
    <w:rsid w:val="38E060F1"/>
    <w:rsid w:val="38F35529"/>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A0AAB"/>
    <w:rsid w:val="3A3C5316"/>
    <w:rsid w:val="3A4058BF"/>
    <w:rsid w:val="3A4F4676"/>
    <w:rsid w:val="3A5F45D1"/>
    <w:rsid w:val="3A770DAD"/>
    <w:rsid w:val="3A8227E5"/>
    <w:rsid w:val="3A913A89"/>
    <w:rsid w:val="3AB013BF"/>
    <w:rsid w:val="3AB6148B"/>
    <w:rsid w:val="3AB82B8A"/>
    <w:rsid w:val="3AD7234B"/>
    <w:rsid w:val="3ADE1AD5"/>
    <w:rsid w:val="3AE56805"/>
    <w:rsid w:val="3B132590"/>
    <w:rsid w:val="3B3B6D13"/>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87230B"/>
    <w:rsid w:val="3CC03974"/>
    <w:rsid w:val="3CC330F6"/>
    <w:rsid w:val="3CC50422"/>
    <w:rsid w:val="3CC63F65"/>
    <w:rsid w:val="3CC86FC9"/>
    <w:rsid w:val="3CCB46CA"/>
    <w:rsid w:val="3CD63197"/>
    <w:rsid w:val="3D0972EB"/>
    <w:rsid w:val="3D2F2757"/>
    <w:rsid w:val="3D2F43EF"/>
    <w:rsid w:val="3D68584E"/>
    <w:rsid w:val="3D6C3C45"/>
    <w:rsid w:val="3D764B63"/>
    <w:rsid w:val="3D9A7321"/>
    <w:rsid w:val="3D9C48F8"/>
    <w:rsid w:val="3DA2472E"/>
    <w:rsid w:val="3DAA2473"/>
    <w:rsid w:val="3DD754E9"/>
    <w:rsid w:val="3E2357D8"/>
    <w:rsid w:val="3E315296"/>
    <w:rsid w:val="3E507BFC"/>
    <w:rsid w:val="3E515673"/>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407682"/>
    <w:rsid w:val="4165249F"/>
    <w:rsid w:val="4173558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2BE197E"/>
    <w:rsid w:val="42D07CF3"/>
    <w:rsid w:val="42E113D1"/>
    <w:rsid w:val="430168B8"/>
    <w:rsid w:val="430C159E"/>
    <w:rsid w:val="431C0FD8"/>
    <w:rsid w:val="431F3C04"/>
    <w:rsid w:val="432C69BC"/>
    <w:rsid w:val="434C484C"/>
    <w:rsid w:val="4377327F"/>
    <w:rsid w:val="43904469"/>
    <w:rsid w:val="43933CA0"/>
    <w:rsid w:val="43A82FD5"/>
    <w:rsid w:val="43B91DAA"/>
    <w:rsid w:val="43C83510"/>
    <w:rsid w:val="43ED2183"/>
    <w:rsid w:val="44081F09"/>
    <w:rsid w:val="440A2F83"/>
    <w:rsid w:val="441901BE"/>
    <w:rsid w:val="445C5D26"/>
    <w:rsid w:val="446E1F07"/>
    <w:rsid w:val="448B2102"/>
    <w:rsid w:val="449900F5"/>
    <w:rsid w:val="44A4522B"/>
    <w:rsid w:val="44AF7660"/>
    <w:rsid w:val="44B17003"/>
    <w:rsid w:val="44FF5319"/>
    <w:rsid w:val="45113220"/>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61FF4"/>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74ED8"/>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31DFE"/>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A9568C"/>
    <w:rsid w:val="50AC6291"/>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BD6977"/>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487CED"/>
    <w:rsid w:val="54534028"/>
    <w:rsid w:val="54537B65"/>
    <w:rsid w:val="545E27DF"/>
    <w:rsid w:val="54843BB7"/>
    <w:rsid w:val="54922CCE"/>
    <w:rsid w:val="54ED27FD"/>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57D2E"/>
    <w:rsid w:val="563D4EBF"/>
    <w:rsid w:val="565A2562"/>
    <w:rsid w:val="565B7F3A"/>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EF3290"/>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B2677"/>
    <w:rsid w:val="580C7901"/>
    <w:rsid w:val="58160449"/>
    <w:rsid w:val="582721E3"/>
    <w:rsid w:val="583D1F4B"/>
    <w:rsid w:val="5841015B"/>
    <w:rsid w:val="584717BE"/>
    <w:rsid w:val="5860518C"/>
    <w:rsid w:val="586256A7"/>
    <w:rsid w:val="586E207E"/>
    <w:rsid w:val="58782EFD"/>
    <w:rsid w:val="58840844"/>
    <w:rsid w:val="588E31D9"/>
    <w:rsid w:val="589C3163"/>
    <w:rsid w:val="58A310F9"/>
    <w:rsid w:val="58A42014"/>
    <w:rsid w:val="58D91F55"/>
    <w:rsid w:val="58E53F4D"/>
    <w:rsid w:val="59144198"/>
    <w:rsid w:val="5943175D"/>
    <w:rsid w:val="59456704"/>
    <w:rsid w:val="5950021B"/>
    <w:rsid w:val="59502516"/>
    <w:rsid w:val="5955281D"/>
    <w:rsid w:val="59A26A9D"/>
    <w:rsid w:val="59B014A3"/>
    <w:rsid w:val="59B05DB3"/>
    <w:rsid w:val="59D04D4F"/>
    <w:rsid w:val="59D51EEC"/>
    <w:rsid w:val="59DA6BF7"/>
    <w:rsid w:val="59E37225"/>
    <w:rsid w:val="5A0C6784"/>
    <w:rsid w:val="5A2921FA"/>
    <w:rsid w:val="5A2E6699"/>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C1057"/>
    <w:rsid w:val="5B603D7C"/>
    <w:rsid w:val="5B6D0E90"/>
    <w:rsid w:val="5B885541"/>
    <w:rsid w:val="5B9337F3"/>
    <w:rsid w:val="5BA929E0"/>
    <w:rsid w:val="5BC16969"/>
    <w:rsid w:val="5BD777E6"/>
    <w:rsid w:val="5C122D5E"/>
    <w:rsid w:val="5C330BCF"/>
    <w:rsid w:val="5C733038"/>
    <w:rsid w:val="5C737D2C"/>
    <w:rsid w:val="5C7E6E4B"/>
    <w:rsid w:val="5C817DEC"/>
    <w:rsid w:val="5C8F2968"/>
    <w:rsid w:val="5C9A2097"/>
    <w:rsid w:val="5C9C2561"/>
    <w:rsid w:val="5CAB6A15"/>
    <w:rsid w:val="5CAC7202"/>
    <w:rsid w:val="5CB26DE8"/>
    <w:rsid w:val="5CC16D61"/>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637CE3"/>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567FAD"/>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733AB"/>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705E13"/>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420F6B"/>
    <w:rsid w:val="6B586ED0"/>
    <w:rsid w:val="6B940900"/>
    <w:rsid w:val="6B9659D1"/>
    <w:rsid w:val="6B992596"/>
    <w:rsid w:val="6BA40927"/>
    <w:rsid w:val="6BAC5136"/>
    <w:rsid w:val="6BB37DB8"/>
    <w:rsid w:val="6BBC4E35"/>
    <w:rsid w:val="6BC37142"/>
    <w:rsid w:val="6BC859EC"/>
    <w:rsid w:val="6BCB1147"/>
    <w:rsid w:val="6BF16ADA"/>
    <w:rsid w:val="6C0B4072"/>
    <w:rsid w:val="6C0C3C30"/>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CA5B51"/>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C2A7E"/>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87ABC"/>
    <w:rsid w:val="71DB0593"/>
    <w:rsid w:val="71E72E64"/>
    <w:rsid w:val="71F64B04"/>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4979B8"/>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433809"/>
    <w:rsid w:val="786A2128"/>
    <w:rsid w:val="78727511"/>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BF0DE6"/>
    <w:rsid w:val="7BC94525"/>
    <w:rsid w:val="7BCA41A5"/>
    <w:rsid w:val="7BDE0036"/>
    <w:rsid w:val="7BE90B2B"/>
    <w:rsid w:val="7C03206D"/>
    <w:rsid w:val="7C0C42D3"/>
    <w:rsid w:val="7C296138"/>
    <w:rsid w:val="7C2D09C7"/>
    <w:rsid w:val="7C420509"/>
    <w:rsid w:val="7C4F3DF1"/>
    <w:rsid w:val="7C5F39D5"/>
    <w:rsid w:val="7C607F1C"/>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3F42C1"/>
    <w:rsid w:val="7E497A3C"/>
    <w:rsid w:val="7E4C58A3"/>
    <w:rsid w:val="7E5073C7"/>
    <w:rsid w:val="7E610386"/>
    <w:rsid w:val="7E7E34B2"/>
    <w:rsid w:val="7E9C40FF"/>
    <w:rsid w:val="7EAA45DE"/>
    <w:rsid w:val="7EC20180"/>
    <w:rsid w:val="7EC32A29"/>
    <w:rsid w:val="7ECC4429"/>
    <w:rsid w:val="7ED812E4"/>
    <w:rsid w:val="7EDD36D4"/>
    <w:rsid w:val="7EEE7388"/>
    <w:rsid w:val="7EF02F3D"/>
    <w:rsid w:val="7EF87AF8"/>
    <w:rsid w:val="7F0B337E"/>
    <w:rsid w:val="7F122D08"/>
    <w:rsid w:val="7F28568F"/>
    <w:rsid w:val="7F327279"/>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4"/>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3"/>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6"/>
    <w:pPr>
      <w:jc w:val="center"/>
    </w:pPr>
    <w:rPr>
      <w:rFonts w:ascii="Times New Roman" w:hAnsi="Times New Roman"/>
      <w:b/>
      <w:sz w:val="32"/>
      <w:szCs w:val="32"/>
    </w:rPr>
  </w:style>
  <w:style w:type="paragraph" w:styleId="18">
    <w:name w:val="annotation subject"/>
    <w:basedOn w:val="6"/>
    <w:next w:val="14"/>
    <w:semiHidden/>
    <w:qFormat/>
    <w:uiPriority w:val="0"/>
    <w:rPr>
      <w:b/>
      <w:bCs/>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unhideWhenUsed/>
    <w:qFormat/>
    <w:uiPriority w:val="0"/>
  </w:style>
  <w:style w:type="character" w:styleId="25">
    <w:name w:val="Hyperlink"/>
    <w:unhideWhenUsed/>
    <w:qFormat/>
    <w:uiPriority w:val="99"/>
    <w:rPr>
      <w:color w:val="0000FF"/>
      <w:u w:val="single"/>
    </w:rPr>
  </w:style>
  <w:style w:type="paragraph" w:customStyle="1" w:styleId="26">
    <w:name w:val="汇编标题1"/>
    <w:basedOn w:val="2"/>
    <w:next w:val="27"/>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7">
    <w:name w:val="汇编正文"/>
    <w:basedOn w:val="1"/>
    <w:next w:val="28"/>
    <w:qFormat/>
    <w:uiPriority w:val="99"/>
    <w:pPr>
      <w:snapToGrid w:val="0"/>
      <w:spacing w:line="360" w:lineRule="atLeast"/>
    </w:pPr>
    <w:rPr>
      <w:color w:val="000000"/>
      <w:lang w:val="zh-CN"/>
    </w:rPr>
  </w:style>
  <w:style w:type="paragraph" w:customStyle="1" w:styleId="28">
    <w:name w:val="样式 标题 1 + 黑体 三号 非加粗 居中 段前: 6 磅 段后: 6 磅 行距: 固定值 20 磅"/>
    <w:basedOn w:val="2"/>
    <w:next w:val="18"/>
    <w:qFormat/>
    <w:uiPriority w:val="0"/>
    <w:pPr>
      <w:spacing w:before="120" w:after="120" w:line="400" w:lineRule="exact"/>
      <w:jc w:val="center"/>
    </w:pPr>
    <w:rPr>
      <w:rFonts w:ascii="黑体" w:hAnsi="黑体" w:eastAsia="黑体" w:cs="宋体"/>
      <w:b w:val="0"/>
      <w:sz w:val="32"/>
      <w:szCs w:val="20"/>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1">
    <w:name w:val="页眉 字符"/>
    <w:link w:val="13"/>
    <w:semiHidden/>
    <w:qFormat/>
    <w:uiPriority w:val="99"/>
    <w:rPr>
      <w:sz w:val="18"/>
      <w:szCs w:val="18"/>
    </w:rPr>
  </w:style>
  <w:style w:type="character" w:customStyle="1" w:styleId="32">
    <w:name w:val="页脚 字符"/>
    <w:link w:val="12"/>
    <w:semiHidden/>
    <w:qFormat/>
    <w:uiPriority w:val="99"/>
    <w:rPr>
      <w:sz w:val="18"/>
      <w:szCs w:val="18"/>
    </w:rPr>
  </w:style>
  <w:style w:type="character" w:customStyle="1" w:styleId="33">
    <w:name w:val="批注框文本 字符"/>
    <w:link w:val="11"/>
    <w:semiHidden/>
    <w:qFormat/>
    <w:uiPriority w:val="99"/>
    <w:rPr>
      <w:sz w:val="18"/>
      <w:szCs w:val="18"/>
    </w:rPr>
  </w:style>
  <w:style w:type="character" w:customStyle="1" w:styleId="34">
    <w:name w:val="标题 3 字符"/>
    <w:link w:val="4"/>
    <w:qFormat/>
    <w:uiPriority w:val="9"/>
    <w:rPr>
      <w:rFonts w:ascii="仿宋" w:hAnsi="仿宋" w:eastAsia="仿宋_GB2312" w:cs="Times New Roman"/>
      <w:bCs/>
      <w:sz w:val="28"/>
      <w:szCs w:val="32"/>
    </w:rPr>
  </w:style>
  <w:style w:type="character" w:customStyle="1" w:styleId="35">
    <w:name w:val="标题 2 字符"/>
    <w:link w:val="3"/>
    <w:qFormat/>
    <w:uiPriority w:val="9"/>
    <w:rPr>
      <w:rFonts w:ascii="Cambria" w:hAnsi="Cambria" w:eastAsia="仿宋_GB2312"/>
      <w:b/>
      <w:bCs/>
      <w:sz w:val="30"/>
      <w:szCs w:val="32"/>
    </w:rPr>
  </w:style>
  <w:style w:type="character" w:customStyle="1" w:styleId="36">
    <w:name w:val="标题 1 字符"/>
    <w:link w:val="2"/>
    <w:qFormat/>
    <w:uiPriority w:val="9"/>
    <w:rPr>
      <w:rFonts w:eastAsia="仿宋_GB2312"/>
      <w:b/>
      <w:bCs/>
      <w:kern w:val="44"/>
      <w:sz w:val="24"/>
      <w:szCs w:val="44"/>
    </w:rPr>
  </w:style>
  <w:style w:type="paragraph" w:customStyle="1" w:styleId="37">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cs="宋体"/>
      <w:sz w:val="20"/>
      <w:szCs w:val="20"/>
    </w:rPr>
  </w:style>
  <w:style w:type="paragraph" w:customStyle="1" w:styleId="40">
    <w:name w:val="1"/>
    <w:basedOn w:val="1"/>
    <w:qFormat/>
    <w:uiPriority w:val="0"/>
    <w:rPr>
      <w:szCs w:val="21"/>
    </w:rPr>
  </w:style>
  <w:style w:type="paragraph" w:customStyle="1" w:styleId="41">
    <w:name w:val="修订1"/>
    <w:hidden/>
    <w:unhideWhenUsed/>
    <w:qFormat/>
    <w:uiPriority w:val="99"/>
    <w:rPr>
      <w:rFonts w:ascii="Calibri" w:hAnsi="Calibri" w:eastAsia="宋体" w:cs="Times New Roman"/>
      <w:kern w:val="2"/>
      <w:sz w:val="21"/>
      <w:szCs w:val="22"/>
      <w:lang w:val="en-US" w:eastAsia="zh-CN" w:bidi="ar-SA"/>
    </w:rPr>
  </w:style>
  <w:style w:type="paragraph" w:customStyle="1" w:styleId="42">
    <w:name w:val="正文格式"/>
    <w:basedOn w:val="1"/>
    <w:qFormat/>
    <w:uiPriority w:val="99"/>
    <w:pPr>
      <w:widowControl/>
      <w:adjustRightInd w:val="0"/>
      <w:snapToGrid w:val="0"/>
      <w:spacing w:beforeLines="50" w:afterLines="50" w:line="360" w:lineRule="atLeast"/>
      <w:ind w:left="200" w:leftChars="200" w:firstLine="482"/>
      <w:textAlignment w:val="baseline"/>
    </w:pPr>
    <w:rPr>
      <w:sz w:val="24"/>
      <w:szCs w:val="24"/>
      <w:lang w:eastAsia="en-US"/>
    </w:rPr>
  </w:style>
  <w:style w:type="character" w:customStyle="1" w:styleId="43">
    <w:name w:val="NormalCharacter"/>
    <w:qFormat/>
    <w:uiPriority w:val="0"/>
    <w:rPr>
      <w:rFonts w:ascii="Times New Roman" w:hAnsi="Times New Roman" w:eastAsia="宋体"/>
    </w:rPr>
  </w:style>
  <w:style w:type="character" w:customStyle="1" w:styleId="44">
    <w:name w:val="UserStyle_0"/>
    <w:qFormat/>
    <w:uiPriority w:val="0"/>
    <w:rPr>
      <w:rFonts w:ascii="Times New Roman" w:hAnsi="Times New Roman" w:eastAsia="宋体"/>
    </w:rPr>
  </w:style>
  <w:style w:type="paragraph" w:styleId="45">
    <w:name w:val="List Paragraph"/>
    <w:qFormat/>
    <w:uiPriority w:val="26"/>
    <w:pPr>
      <w:ind w:left="85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9690</Words>
  <Characters>9927</Characters>
  <Lines>235</Lines>
  <Paragraphs>202</Paragraphs>
  <TotalTime>0</TotalTime>
  <ScaleCrop>false</ScaleCrop>
  <LinksUpToDate>false</LinksUpToDate>
  <CharactersWithSpaces>11223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小胡</cp:lastModifiedBy>
  <cp:lastPrinted>2025-04-29T07:42:00Z</cp:lastPrinted>
  <dcterms:modified xsi:type="dcterms:W3CDTF">2025-05-30T08:52:01Z</dcterms:modified>
  <dc:title>中建七局华北公司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9FD8777846E249DABA8B0D825EEE598B_13</vt:lpwstr>
  </property>
  <property fmtid="{D5CDD505-2E9C-101B-9397-08002B2CF9AE}" pid="4" name="KSOTemplateDocerSaveRecord">
    <vt:lpwstr>eyJoZGlkIjoiNmQwYjVkZmRiNjU5ZjIwYmQ5MzQ0ZWQ0MWVjM2FiNmEiLCJ1c2VySWQiOiI1ODU5NDg3NTkifQ==</vt:lpwstr>
  </property>
</Properties>
</file>