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1F337">
      <w:pPr>
        <w:spacing w:line="380" w:lineRule="atLeast"/>
        <w:jc w:val="right"/>
        <w:rPr>
          <w:rFonts w:hint="eastAsia" w:ascii="楷体_GB2312" w:hAnsi="楷体_GB2312" w:eastAsia="楷体_GB2312" w:cs="楷体_GB2312"/>
          <w:b/>
          <w:sz w:val="52"/>
          <w:szCs w:val="52"/>
        </w:rPr>
      </w:pPr>
      <w:bookmarkStart w:id="0" w:name="_Toc343692939"/>
      <w:bookmarkStart w:id="1" w:name="_Toc343700737"/>
      <w:r>
        <w:rPr>
          <w:rFonts w:hint="eastAsia" w:ascii="楷体_GB2312" w:hAnsi="楷体_GB2312" w:eastAsia="楷体_GB2312" w:cs="楷体_GB2312"/>
          <w:b/>
          <w:sz w:val="52"/>
          <w:szCs w:val="52"/>
        </w:rPr>
        <w:t xml:space="preserve">    </w:t>
      </w:r>
    </w:p>
    <w:p w14:paraId="5DAA9DD7">
      <w:pPr>
        <w:spacing w:line="380" w:lineRule="atLeast"/>
        <w:ind w:left="-199" w:leftChars="-95"/>
        <w:jc w:val="center"/>
        <w:rPr>
          <w:rFonts w:hint="eastAsia" w:ascii="楷体_GB2312" w:hAnsi="楷体_GB2312" w:eastAsia="楷体_GB2312" w:cs="楷体_GB2312"/>
          <w:b/>
          <w:sz w:val="52"/>
          <w:szCs w:val="52"/>
        </w:rPr>
      </w:pPr>
      <w:bookmarkStart w:id="2" w:name="OLE_LINK1"/>
      <w:r>
        <w:rPr>
          <w:rFonts w:hint="eastAsia" w:ascii="楷体_GB2312" w:hAnsi="楷体_GB2312" w:eastAsia="楷体_GB2312" w:cs="楷体_GB2312"/>
          <w:b/>
          <w:sz w:val="52"/>
          <w:szCs w:val="52"/>
        </w:rPr>
        <w:t>海南洋浦陆海能源发展有限公司</w:t>
      </w:r>
    </w:p>
    <w:p w14:paraId="7F2B04CF">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超声波水表采购</w:t>
      </w:r>
    </w:p>
    <w:bookmarkEnd w:id="2"/>
    <w:p w14:paraId="10EDE036">
      <w:pPr>
        <w:spacing w:line="380" w:lineRule="atLeast"/>
        <w:rPr>
          <w:rFonts w:hint="eastAsia" w:ascii="楷体_GB2312" w:hAnsi="楷体_GB2312" w:eastAsia="楷体_GB2312" w:cs="楷体_GB2312"/>
          <w:b/>
          <w:sz w:val="52"/>
          <w:szCs w:val="52"/>
        </w:rPr>
      </w:pPr>
    </w:p>
    <w:p w14:paraId="0A787E05">
      <w:pPr>
        <w:spacing w:line="380" w:lineRule="atLeast"/>
        <w:ind w:left="-199" w:leftChars="-95"/>
        <w:jc w:val="center"/>
        <w:rPr>
          <w:rFonts w:hint="eastAsia" w:ascii="楷体_GB2312" w:hAnsi="楷体_GB2312" w:eastAsia="楷体_GB2312" w:cs="楷体_GB2312"/>
          <w:b/>
          <w:sz w:val="52"/>
          <w:szCs w:val="52"/>
        </w:rPr>
      </w:pPr>
    </w:p>
    <w:p w14:paraId="7AE85B7D">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公</w:t>
      </w:r>
    </w:p>
    <w:p w14:paraId="6C3556DD">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开</w:t>
      </w:r>
    </w:p>
    <w:p w14:paraId="7D9FEF89">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询</w:t>
      </w:r>
    </w:p>
    <w:p w14:paraId="77AAAB0A">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价</w:t>
      </w:r>
    </w:p>
    <w:p w14:paraId="1B14220D">
      <w:pPr>
        <w:spacing w:line="380" w:lineRule="atLeast"/>
        <w:ind w:left="-199" w:leftChars="-95"/>
        <w:jc w:val="center"/>
        <w:rPr>
          <w:rFonts w:hint="eastAsia" w:ascii="楷体_GB2312" w:hAnsi="楷体_GB2312" w:eastAsia="楷体_GB2312" w:cs="楷体_GB2312"/>
          <w:b/>
          <w:sz w:val="52"/>
          <w:szCs w:val="52"/>
        </w:rPr>
      </w:pPr>
      <w:r>
        <w:rPr>
          <w:rFonts w:hint="eastAsia" w:ascii="楷体_GB2312" w:hAnsi="楷体_GB2312" w:eastAsia="楷体_GB2312" w:cs="楷体_GB2312"/>
          <w:b/>
          <w:sz w:val="52"/>
          <w:szCs w:val="52"/>
        </w:rPr>
        <w:t>文</w:t>
      </w:r>
    </w:p>
    <w:p w14:paraId="67BE3809">
      <w:pPr>
        <w:spacing w:line="380" w:lineRule="atLeast"/>
        <w:ind w:left="-199" w:leftChars="-95"/>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52"/>
          <w:szCs w:val="52"/>
        </w:rPr>
        <w:t xml:space="preserve">件                  </w:t>
      </w:r>
    </w:p>
    <w:p w14:paraId="45026772">
      <w:pPr>
        <w:spacing w:line="1000" w:lineRule="exact"/>
        <w:ind w:left="-420" w:leftChars="-200" w:right="-420" w:rightChars="-200"/>
        <w:jc w:val="center"/>
        <w:rPr>
          <w:rFonts w:hint="eastAsia" w:ascii="楷体_GB2312" w:hAnsi="楷体_GB2312" w:eastAsia="楷体_GB2312" w:cs="楷体_GB2312"/>
          <w:b/>
          <w:sz w:val="28"/>
          <w:szCs w:val="28"/>
        </w:rPr>
      </w:pPr>
    </w:p>
    <w:p w14:paraId="7C712A75">
      <w:pPr>
        <w:spacing w:line="1000" w:lineRule="exact"/>
        <w:ind w:left="-420" w:leftChars="-200" w:right="-420" w:rightChars="-200"/>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采购人：海南洋浦陆海能源发展有限公司</w:t>
      </w:r>
    </w:p>
    <w:p w14:paraId="7224955C">
      <w:pPr>
        <w:spacing w:line="480" w:lineRule="auto"/>
        <w:ind w:left="-420" w:leftChars="-200" w:right="-420" w:rightChars="-200"/>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日期：2025年6月</w:t>
      </w:r>
      <w:r>
        <w:rPr>
          <w:rFonts w:hint="eastAsia" w:ascii="楷体_GB2312" w:hAnsi="楷体_GB2312" w:eastAsia="楷体_GB2312" w:cs="楷体_GB2312"/>
          <w:b/>
          <w:sz w:val="28"/>
          <w:szCs w:val="28"/>
          <w:lang w:val="en-US" w:eastAsia="zh-CN"/>
        </w:rPr>
        <w:t>12</w:t>
      </w:r>
      <w:r>
        <w:rPr>
          <w:rFonts w:hint="eastAsia" w:ascii="楷体_GB2312" w:hAnsi="楷体_GB2312" w:eastAsia="楷体_GB2312" w:cs="楷体_GB2312"/>
          <w:b/>
          <w:sz w:val="28"/>
          <w:szCs w:val="28"/>
        </w:rPr>
        <w:t>日</w:t>
      </w:r>
    </w:p>
    <w:p w14:paraId="1C0FF636">
      <w:pPr>
        <w:rPr>
          <w:rFonts w:hint="eastAsia" w:ascii="楷体" w:hAnsi="楷体" w:eastAsia="楷体" w:cs="楷体"/>
          <w:b/>
          <w:bCs/>
          <w:sz w:val="24"/>
          <w:szCs w:val="24"/>
        </w:rPr>
      </w:pPr>
    </w:p>
    <w:p w14:paraId="2D02DA90">
      <w:pPr>
        <w:pStyle w:val="4"/>
        <w:rPr>
          <w:rFonts w:hint="eastAsia"/>
        </w:rPr>
        <w:sectPr>
          <w:pgSz w:w="11906" w:h="16838"/>
          <w:pgMar w:top="1440" w:right="1800" w:bottom="1247" w:left="1800" w:header="851" w:footer="992" w:gutter="0"/>
          <w:cols w:space="0" w:num="1"/>
          <w:docGrid w:type="lines" w:linePitch="312" w:charSpace="0"/>
        </w:sectPr>
      </w:pPr>
    </w:p>
    <w:p w14:paraId="7F81C54A"/>
    <w:p w14:paraId="7071CA04">
      <w:pPr>
        <w:pStyle w:val="28"/>
        <w:numPr>
          <w:ilvl w:val="0"/>
          <w:numId w:val="1"/>
        </w:numPr>
        <w:rPr>
          <w:rFonts w:hint="eastAsia" w:ascii="楷体" w:hAnsi="楷体" w:eastAsia="楷体" w:cs="楷体"/>
          <w:b/>
          <w:bCs w:val="0"/>
        </w:rPr>
      </w:pPr>
      <w:r>
        <w:rPr>
          <w:rFonts w:hint="eastAsia" w:ascii="楷体" w:hAnsi="楷体" w:eastAsia="楷体" w:cs="楷体"/>
          <w:b/>
          <w:bCs w:val="0"/>
        </w:rPr>
        <w:t>公开询价函</w:t>
      </w:r>
    </w:p>
    <w:tbl>
      <w:tblPr>
        <w:tblStyle w:val="21"/>
        <w:tblpPr w:leftFromText="180" w:rightFromText="180" w:vertAnchor="text" w:horzAnchor="page" w:tblpXSpec="center" w:tblpY="196"/>
        <w:tblOverlap w:val="never"/>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5316B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13" w:type="dxa"/>
            <w:gridSpan w:val="3"/>
            <w:tcBorders>
              <w:top w:val="single" w:color="auto" w:sz="8" w:space="0"/>
            </w:tcBorders>
            <w:vAlign w:val="center"/>
          </w:tcPr>
          <w:p w14:paraId="151502CC">
            <w:pPr>
              <w:spacing w:line="360" w:lineRule="atLeast"/>
              <w:ind w:firstLine="480" w:firstLineChars="200"/>
              <w:rPr>
                <w:rFonts w:hint="eastAsia" w:ascii="楷体" w:hAnsi="楷体" w:eastAsia="楷体" w:cs="楷体"/>
                <w:sz w:val="24"/>
                <w:szCs w:val="24"/>
              </w:rPr>
            </w:pPr>
            <w:r>
              <w:rPr>
                <w:rFonts w:hint="eastAsia" w:ascii="楷体" w:hAnsi="楷体" w:eastAsia="楷体" w:cs="楷体"/>
                <w:sz w:val="24"/>
                <w:szCs w:val="24"/>
              </w:rPr>
              <w:t>海南洋浦陆海能源发展有限公司</w:t>
            </w:r>
            <w:r>
              <w:rPr>
                <w:rFonts w:hint="eastAsia" w:ascii="楷体" w:hAnsi="楷体" w:eastAsia="楷体" w:cs="楷体"/>
                <w:sz w:val="24"/>
                <w:szCs w:val="24"/>
                <w:u w:val="single"/>
              </w:rPr>
              <w:t>超声波水表</w:t>
            </w:r>
            <w:r>
              <w:rPr>
                <w:rFonts w:hint="eastAsia" w:ascii="楷体" w:hAnsi="楷体" w:eastAsia="楷体" w:cs="楷体"/>
                <w:sz w:val="24"/>
                <w:szCs w:val="24"/>
              </w:rPr>
              <w:t>采购，根据需要，拟按照</w:t>
            </w:r>
            <w:r>
              <w:rPr>
                <w:rFonts w:hint="eastAsia" w:ascii="楷体" w:hAnsi="楷体" w:eastAsia="楷体" w:cs="楷体"/>
                <w:sz w:val="24"/>
                <w:szCs w:val="24"/>
                <w:u w:val="single"/>
              </w:rPr>
              <w:t>公开询价</w:t>
            </w:r>
            <w:r>
              <w:rPr>
                <w:rFonts w:hint="eastAsia" w:ascii="楷体" w:hAnsi="楷体" w:eastAsia="楷体" w:cs="楷体"/>
                <w:sz w:val="24"/>
                <w:szCs w:val="24"/>
              </w:rPr>
              <w:t>方式进行采购，具体采购事项如下：</w:t>
            </w:r>
          </w:p>
        </w:tc>
      </w:tr>
      <w:tr w14:paraId="2E2FC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2A611469">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14:paraId="52ABFE35">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14:paraId="7A2D8577">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内容</w:t>
            </w:r>
          </w:p>
        </w:tc>
      </w:tr>
      <w:tr w14:paraId="183C2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14:paraId="7E31CC0C">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1</w:t>
            </w:r>
          </w:p>
        </w:tc>
        <w:tc>
          <w:tcPr>
            <w:tcW w:w="2517" w:type="dxa"/>
            <w:vAlign w:val="center"/>
          </w:tcPr>
          <w:p w14:paraId="12484491">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公开询价单位</w:t>
            </w:r>
          </w:p>
        </w:tc>
        <w:tc>
          <w:tcPr>
            <w:tcW w:w="5233" w:type="dxa"/>
            <w:vAlign w:val="center"/>
          </w:tcPr>
          <w:p w14:paraId="0FB88B1C">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海南洋浦陆海能源发展有限公司</w:t>
            </w:r>
          </w:p>
        </w:tc>
      </w:tr>
      <w:tr w14:paraId="4EA58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863" w:type="dxa"/>
            <w:vAlign w:val="center"/>
          </w:tcPr>
          <w:p w14:paraId="23738E1E">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2</w:t>
            </w:r>
          </w:p>
        </w:tc>
        <w:tc>
          <w:tcPr>
            <w:tcW w:w="2517" w:type="dxa"/>
            <w:vAlign w:val="center"/>
          </w:tcPr>
          <w:p w14:paraId="2C9F6F31">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公开询价内容</w:t>
            </w:r>
          </w:p>
        </w:tc>
        <w:tc>
          <w:tcPr>
            <w:tcW w:w="5233" w:type="dxa"/>
          </w:tcPr>
          <w:p w14:paraId="7332551C">
            <w:pPr>
              <w:spacing w:line="360" w:lineRule="atLeast"/>
              <w:ind w:left="720" w:hanging="720" w:hangingChars="300"/>
              <w:jc w:val="left"/>
              <w:rPr>
                <w:rFonts w:hint="eastAsia" w:ascii="楷体" w:hAnsi="楷体" w:eastAsia="楷体" w:cs="楷体"/>
                <w:sz w:val="24"/>
                <w:szCs w:val="24"/>
              </w:rPr>
            </w:pPr>
            <w:r>
              <w:rPr>
                <w:rFonts w:hint="eastAsia" w:ascii="楷体" w:hAnsi="楷体" w:eastAsia="楷体" w:cs="楷体"/>
                <w:sz w:val="24"/>
                <w:szCs w:val="24"/>
              </w:rPr>
              <w:t>1.采购货物名称/数量（详见报价书）；</w:t>
            </w:r>
          </w:p>
          <w:p w14:paraId="5E3E20D1">
            <w:pPr>
              <w:spacing w:line="360" w:lineRule="atLeast"/>
              <w:ind w:left="720" w:hanging="720" w:hangingChars="300"/>
              <w:jc w:val="left"/>
              <w:rPr>
                <w:rFonts w:hint="eastAsia" w:ascii="楷体" w:hAnsi="楷体" w:eastAsia="楷体" w:cs="楷体"/>
                <w:sz w:val="24"/>
                <w:szCs w:val="24"/>
              </w:rPr>
            </w:pPr>
            <w:r>
              <w:rPr>
                <w:rFonts w:hint="eastAsia" w:ascii="楷体" w:hAnsi="楷体" w:eastAsia="楷体" w:cs="楷体"/>
                <w:sz w:val="24"/>
                <w:szCs w:val="24"/>
              </w:rPr>
              <w:t>2.质量标准及技术要求等（详见报价人须知）；</w:t>
            </w:r>
          </w:p>
          <w:p w14:paraId="70EFA7D2">
            <w:pPr>
              <w:spacing w:line="360" w:lineRule="atLeast"/>
              <w:ind w:left="720" w:hanging="720" w:hangingChars="300"/>
              <w:jc w:val="left"/>
              <w:rPr>
                <w:rFonts w:hint="eastAsia" w:ascii="楷体" w:hAnsi="楷体" w:eastAsia="楷体" w:cs="楷体"/>
                <w:sz w:val="24"/>
                <w:szCs w:val="24"/>
              </w:rPr>
            </w:pPr>
            <w:r>
              <w:rPr>
                <w:rFonts w:hint="eastAsia" w:ascii="楷体" w:hAnsi="楷体" w:eastAsia="楷体" w:cs="楷体"/>
                <w:sz w:val="24"/>
                <w:szCs w:val="24"/>
              </w:rPr>
              <w:t>3.报价人资格要求（详见报价人须知）</w:t>
            </w:r>
          </w:p>
          <w:p w14:paraId="2B6BEE8F">
            <w:pPr>
              <w:keepNext w:val="0"/>
              <w:keepLines w:val="0"/>
              <w:pageBreakBefore w:val="0"/>
              <w:widowControl w:val="0"/>
              <w:kinsoku/>
              <w:wordWrap/>
              <w:overflowPunct/>
              <w:topLinePunct w:val="0"/>
              <w:autoSpaceDE/>
              <w:autoSpaceDN/>
              <w:bidi w:val="0"/>
              <w:adjustRightInd/>
              <w:snapToGrid/>
              <w:spacing w:line="360" w:lineRule="atLeast"/>
              <w:ind w:left="0" w:firstLine="0" w:firstLineChars="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.公开询价报价文件获取方式：在网页附件处下载电子版文件</w:t>
            </w:r>
          </w:p>
        </w:tc>
      </w:tr>
      <w:tr w14:paraId="2941F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63" w:type="dxa"/>
            <w:vAlign w:val="center"/>
          </w:tcPr>
          <w:p w14:paraId="6ACF1A56">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3</w:t>
            </w:r>
          </w:p>
        </w:tc>
        <w:tc>
          <w:tcPr>
            <w:tcW w:w="2517" w:type="dxa"/>
            <w:vAlign w:val="center"/>
          </w:tcPr>
          <w:p w14:paraId="43517D82">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开始时间</w:t>
            </w:r>
          </w:p>
        </w:tc>
        <w:tc>
          <w:tcPr>
            <w:tcW w:w="5233" w:type="dxa"/>
            <w:vAlign w:val="center"/>
          </w:tcPr>
          <w:p w14:paraId="45FBC019">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2025年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12</w:t>
            </w:r>
            <w:r>
              <w:rPr>
                <w:rFonts w:hint="eastAsia" w:ascii="楷体" w:hAnsi="楷体" w:eastAsia="楷体" w:cs="楷体"/>
                <w:sz w:val="24"/>
                <w:szCs w:val="24"/>
              </w:rPr>
              <w:t>日</w:t>
            </w:r>
          </w:p>
        </w:tc>
      </w:tr>
      <w:tr w14:paraId="271DE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1" w:hRule="exact"/>
          <w:jc w:val="center"/>
        </w:trPr>
        <w:tc>
          <w:tcPr>
            <w:tcW w:w="863" w:type="dxa"/>
            <w:vAlign w:val="center"/>
          </w:tcPr>
          <w:p w14:paraId="36555035">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4</w:t>
            </w:r>
          </w:p>
        </w:tc>
        <w:tc>
          <w:tcPr>
            <w:tcW w:w="2517" w:type="dxa"/>
            <w:vAlign w:val="center"/>
          </w:tcPr>
          <w:p w14:paraId="00236097">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报价书递交时间地点</w:t>
            </w:r>
          </w:p>
        </w:tc>
        <w:tc>
          <w:tcPr>
            <w:tcW w:w="5233" w:type="dxa"/>
            <w:vAlign w:val="center"/>
          </w:tcPr>
          <w:p w14:paraId="628FC197">
            <w:pPr>
              <w:spacing w:after="108" w:afterLines="34" w:afterAutospacing="0" w:line="380" w:lineRule="atLeast"/>
              <w:jc w:val="left"/>
              <w:rPr>
                <w:rFonts w:hint="eastAsia" w:ascii="楷体" w:hAnsi="楷体" w:eastAsia="楷体" w:cs="楷体"/>
                <w:sz w:val="24"/>
                <w:szCs w:val="24"/>
              </w:rPr>
            </w:pPr>
            <w:r>
              <w:rPr>
                <w:rFonts w:hint="eastAsia" w:ascii="楷体" w:hAnsi="楷体" w:eastAsia="楷体" w:cs="楷体"/>
                <w:sz w:val="24"/>
                <w:szCs w:val="24"/>
              </w:rPr>
              <w:t>截至2025年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hint="eastAsia" w:ascii="楷体" w:hAnsi="楷体" w:eastAsia="楷体" w:cs="楷体"/>
                <w:sz w:val="24"/>
                <w:szCs w:val="24"/>
                <w:lang w:val="en-US" w:eastAsia="zh-CN"/>
              </w:rPr>
              <w:t>17</w:t>
            </w:r>
            <w:r>
              <w:rPr>
                <w:rFonts w:hint="eastAsia" w:ascii="楷体" w:hAnsi="楷体" w:eastAsia="楷体" w:cs="楷体"/>
                <w:sz w:val="24"/>
                <w:szCs w:val="24"/>
              </w:rPr>
              <w:t>日上午10：00电子版扫描件发送至指定电子邮箱luhaimygs@hnyplh.com，或现场递交纸质版报价文件至海南省洋浦经济开发区洋浦大厦3楼311房。（以电子版文件递交</w:t>
            </w:r>
            <w:r>
              <w:rPr>
                <w:rFonts w:hint="eastAsia" w:ascii="楷体" w:hAnsi="楷体" w:eastAsia="楷体" w:cs="楷体"/>
                <w:sz w:val="24"/>
                <w:szCs w:val="24"/>
                <w:lang w:eastAsia="zh-CN"/>
              </w:rPr>
              <w:t>，</w:t>
            </w:r>
            <w:r>
              <w:rPr>
                <w:rFonts w:hint="eastAsia" w:ascii="楷体" w:hAnsi="楷体" w:eastAsia="楷体" w:cs="楷体"/>
                <w:sz w:val="24"/>
                <w:szCs w:val="24"/>
              </w:rPr>
              <w:t>邮件名应命名为海南洋浦陆海能源发展有限公司超声波水表采购报价文件——报价人名称）</w:t>
            </w:r>
          </w:p>
        </w:tc>
      </w:tr>
      <w:tr w14:paraId="3D668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63" w:type="dxa"/>
            <w:vAlign w:val="center"/>
          </w:tcPr>
          <w:p w14:paraId="41C091C2">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5</w:t>
            </w:r>
          </w:p>
        </w:tc>
        <w:tc>
          <w:tcPr>
            <w:tcW w:w="2517" w:type="dxa"/>
            <w:vAlign w:val="center"/>
          </w:tcPr>
          <w:p w14:paraId="55C62793">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14:paraId="4B8BD727">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肖工/0898-28810376</w:t>
            </w:r>
          </w:p>
        </w:tc>
      </w:tr>
      <w:tr w14:paraId="3A39D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8" w:hRule="exact"/>
          <w:jc w:val="center"/>
        </w:trPr>
        <w:tc>
          <w:tcPr>
            <w:tcW w:w="863" w:type="dxa"/>
            <w:vAlign w:val="center"/>
          </w:tcPr>
          <w:p w14:paraId="18AFDF3B">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6</w:t>
            </w:r>
          </w:p>
        </w:tc>
        <w:tc>
          <w:tcPr>
            <w:tcW w:w="2517" w:type="dxa"/>
            <w:vAlign w:val="center"/>
          </w:tcPr>
          <w:p w14:paraId="17D2B9BB">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评分方法</w:t>
            </w:r>
          </w:p>
        </w:tc>
        <w:tc>
          <w:tcPr>
            <w:tcW w:w="5233" w:type="dxa"/>
            <w:vAlign w:val="center"/>
          </w:tcPr>
          <w:p w14:paraId="6EE69A13">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低价评审法</w:t>
            </w:r>
          </w:p>
          <w:p w14:paraId="6DBE4FB8">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（1）符合性评审：</w:t>
            </w:r>
          </w:p>
          <w:p w14:paraId="69E7E005">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符合第四章报价</w:t>
            </w:r>
            <w:r>
              <w:rPr>
                <w:rFonts w:hint="eastAsia" w:ascii="楷体" w:hAnsi="楷体" w:eastAsia="楷体" w:cs="楷体"/>
                <w:sz w:val="24"/>
                <w:szCs w:val="24"/>
                <w:lang w:val="en-US" w:eastAsia="zh-CN"/>
              </w:rPr>
              <w:t>文件</w:t>
            </w:r>
            <w:r>
              <w:rPr>
                <w:rFonts w:hint="eastAsia" w:ascii="楷体" w:hAnsi="楷体" w:eastAsia="楷体" w:cs="楷体"/>
                <w:sz w:val="24"/>
                <w:szCs w:val="24"/>
              </w:rPr>
              <w:t>（格式）要求。</w:t>
            </w:r>
          </w:p>
          <w:p w14:paraId="0C71DF5F">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（2）价格评审：通过符合性审查的报价单位，进入价格评审。按照报价单位的</w:t>
            </w:r>
            <w:r>
              <w:rPr>
                <w:rFonts w:hint="eastAsia" w:ascii="楷体" w:hAnsi="楷体" w:eastAsia="楷体" w:cs="楷体"/>
                <w:sz w:val="24"/>
                <w:szCs w:val="24"/>
                <w:lang w:val="en-US" w:eastAsia="zh-CN"/>
              </w:rPr>
              <w:t>不含税</w:t>
            </w:r>
            <w:r>
              <w:rPr>
                <w:rFonts w:hint="eastAsia" w:ascii="楷体" w:hAnsi="楷体" w:eastAsia="楷体" w:cs="楷体"/>
                <w:sz w:val="24"/>
                <w:szCs w:val="24"/>
              </w:rPr>
              <w:t>报价由低到高确定候选人。</w:t>
            </w:r>
          </w:p>
          <w:p w14:paraId="089E1902">
            <w:pPr>
              <w:spacing w:line="360" w:lineRule="atLeast"/>
              <w:jc w:val="center"/>
              <w:rPr>
                <w:rFonts w:hint="eastAsia" w:ascii="楷体" w:hAnsi="楷体" w:eastAsia="楷体" w:cs="楷体"/>
                <w:sz w:val="24"/>
                <w:szCs w:val="24"/>
              </w:rPr>
            </w:pPr>
          </w:p>
        </w:tc>
      </w:tr>
      <w:tr w14:paraId="0D2CA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63" w:type="dxa"/>
            <w:vAlign w:val="center"/>
          </w:tcPr>
          <w:p w14:paraId="0F141231">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7</w:t>
            </w:r>
          </w:p>
        </w:tc>
        <w:tc>
          <w:tcPr>
            <w:tcW w:w="2517" w:type="dxa"/>
            <w:vAlign w:val="center"/>
          </w:tcPr>
          <w:p w14:paraId="070BFFE7">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控制价</w:t>
            </w:r>
          </w:p>
        </w:tc>
        <w:tc>
          <w:tcPr>
            <w:tcW w:w="5233" w:type="dxa"/>
            <w:vAlign w:val="center"/>
          </w:tcPr>
          <w:p w14:paraId="2BDC30B3">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highlight w:val="none"/>
                <w:lang w:val="en-US" w:eastAsia="zh-CN"/>
              </w:rPr>
              <w:t>170,000</w:t>
            </w:r>
            <w:r>
              <w:rPr>
                <w:rFonts w:hint="eastAsia" w:ascii="楷体" w:hAnsi="楷体" w:eastAsia="楷体" w:cs="楷体"/>
                <w:sz w:val="24"/>
                <w:szCs w:val="24"/>
                <w:highlight w:val="none"/>
              </w:rPr>
              <w:t>元</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含税</w:t>
            </w:r>
            <w:r>
              <w:rPr>
                <w:rFonts w:hint="eastAsia" w:ascii="楷体" w:hAnsi="楷体" w:eastAsia="楷体" w:cs="楷体"/>
                <w:sz w:val="24"/>
                <w:szCs w:val="24"/>
                <w:highlight w:val="none"/>
                <w:lang w:eastAsia="zh-CN"/>
              </w:rPr>
              <w:t>）</w:t>
            </w:r>
          </w:p>
        </w:tc>
      </w:tr>
      <w:tr w14:paraId="6DE3E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7" w:hRule="exact"/>
          <w:jc w:val="center"/>
        </w:trPr>
        <w:tc>
          <w:tcPr>
            <w:tcW w:w="863" w:type="dxa"/>
            <w:vAlign w:val="center"/>
          </w:tcPr>
          <w:p w14:paraId="21F524D5">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2517" w:type="dxa"/>
            <w:vAlign w:val="center"/>
          </w:tcPr>
          <w:p w14:paraId="5C16824B">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履约保证金</w:t>
            </w:r>
          </w:p>
        </w:tc>
        <w:tc>
          <w:tcPr>
            <w:tcW w:w="5233" w:type="dxa"/>
            <w:vAlign w:val="center"/>
          </w:tcPr>
          <w:p w14:paraId="6ACC9E3E">
            <w:pPr>
              <w:spacing w:line="360" w:lineRule="atLeast"/>
              <w:jc w:val="left"/>
              <w:rPr>
                <w:rFonts w:hint="eastAsia" w:ascii="楷体" w:hAnsi="楷体" w:eastAsia="仿宋" w:cs="楷体"/>
                <w:sz w:val="24"/>
                <w:szCs w:val="24"/>
                <w:lang w:val="en-US" w:eastAsia="zh-CN"/>
              </w:rPr>
            </w:pPr>
            <w:r>
              <w:rPr>
                <w:rFonts w:hint="eastAsia" w:ascii="楷体" w:hAnsi="楷体" w:eastAsia="楷体" w:cs="楷体"/>
                <w:sz w:val="24"/>
                <w:szCs w:val="24"/>
                <w:lang w:val="en-US" w:eastAsia="zh-CN"/>
              </w:rPr>
              <w:t>成交金额的2%，履约保证金缴纳时间：成交通知书发出之后7个日历天内，以银行转账或银行保函（限定出具保函的机构为全国性股份制银行、海南区域股份制银行，可线上验真，保函性质为见索即付，争议解决地在海南洋浦陆海能源发展有限公司所在地，保函有效期间要覆盖至项目供应完毕且验收完毕）。</w:t>
            </w:r>
          </w:p>
        </w:tc>
      </w:tr>
      <w:tr w14:paraId="0C3D9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63" w:type="dxa"/>
            <w:vAlign w:val="center"/>
          </w:tcPr>
          <w:p w14:paraId="79A96A53">
            <w:pPr>
              <w:spacing w:line="360" w:lineRule="atLeast"/>
              <w:jc w:val="center"/>
              <w:rPr>
                <w:rFonts w:hint="eastAsia" w:ascii="楷体_GB2312" w:hAnsi="楷体_GB2312" w:eastAsia="楷体_GB2312" w:cs="楷体_GB2312"/>
                <w:sz w:val="24"/>
                <w:szCs w:val="24"/>
                <w:lang w:eastAsia="zh-CN"/>
              </w:rPr>
            </w:pPr>
            <w:r>
              <w:rPr>
                <w:rFonts w:hint="eastAsia" w:ascii="楷体" w:hAnsi="楷体" w:eastAsia="楷体" w:cs="楷体"/>
                <w:sz w:val="24"/>
                <w:szCs w:val="24"/>
                <w:lang w:val="en-US" w:eastAsia="zh-CN"/>
              </w:rPr>
              <w:t>9</w:t>
            </w:r>
          </w:p>
        </w:tc>
        <w:tc>
          <w:tcPr>
            <w:tcW w:w="2517" w:type="dxa"/>
            <w:vAlign w:val="center"/>
          </w:tcPr>
          <w:p w14:paraId="60A6EC9B">
            <w:pPr>
              <w:spacing w:line="360" w:lineRule="atLeast"/>
              <w:jc w:val="center"/>
              <w:rPr>
                <w:rFonts w:hint="eastAsia" w:ascii="楷体_GB2312" w:hAnsi="楷体_GB2312" w:eastAsia="楷体_GB2312" w:cs="楷体_GB2312"/>
                <w:sz w:val="24"/>
                <w:szCs w:val="24"/>
              </w:rPr>
            </w:pPr>
            <w:r>
              <w:rPr>
                <w:rFonts w:hint="eastAsia" w:ascii="楷体" w:hAnsi="楷体" w:eastAsia="楷体" w:cs="楷体"/>
                <w:sz w:val="24"/>
                <w:szCs w:val="24"/>
              </w:rPr>
              <w:t>廉政监督电话</w:t>
            </w:r>
          </w:p>
        </w:tc>
        <w:tc>
          <w:tcPr>
            <w:tcW w:w="5233" w:type="dxa"/>
            <w:vAlign w:val="center"/>
          </w:tcPr>
          <w:p w14:paraId="4C4D6590">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 xml:space="preserve">0898-28810186 </w:t>
            </w:r>
          </w:p>
        </w:tc>
      </w:tr>
      <w:tr w14:paraId="194E2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863" w:type="dxa"/>
            <w:vAlign w:val="center"/>
          </w:tcPr>
          <w:p w14:paraId="22A7A0A1">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2517" w:type="dxa"/>
            <w:vAlign w:val="center"/>
          </w:tcPr>
          <w:p w14:paraId="2FF67143">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送货地址</w:t>
            </w:r>
          </w:p>
        </w:tc>
        <w:tc>
          <w:tcPr>
            <w:tcW w:w="5233" w:type="dxa"/>
            <w:vAlign w:val="center"/>
          </w:tcPr>
          <w:p w14:paraId="55158519">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项目指定交货地点</w:t>
            </w:r>
          </w:p>
        </w:tc>
      </w:tr>
      <w:tr w14:paraId="2B3A2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 w:hRule="exact"/>
          <w:jc w:val="center"/>
        </w:trPr>
        <w:tc>
          <w:tcPr>
            <w:tcW w:w="863" w:type="dxa"/>
            <w:vAlign w:val="center"/>
          </w:tcPr>
          <w:p w14:paraId="246CC72A">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10</w:t>
            </w:r>
          </w:p>
        </w:tc>
        <w:tc>
          <w:tcPr>
            <w:tcW w:w="2517" w:type="dxa"/>
            <w:vAlign w:val="center"/>
          </w:tcPr>
          <w:p w14:paraId="69462E6F">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其他要求</w:t>
            </w:r>
          </w:p>
        </w:tc>
        <w:tc>
          <w:tcPr>
            <w:tcW w:w="5233" w:type="dxa"/>
            <w:vAlign w:val="center"/>
          </w:tcPr>
          <w:p w14:paraId="00BDF0C3">
            <w:pPr>
              <w:spacing w:line="360" w:lineRule="atLeast"/>
              <w:jc w:val="left"/>
              <w:rPr>
                <w:rFonts w:hint="eastAsia" w:ascii="楷体" w:hAnsi="楷体" w:eastAsia="楷体" w:cs="楷体"/>
                <w:sz w:val="24"/>
                <w:szCs w:val="24"/>
              </w:rPr>
            </w:pPr>
            <w:r>
              <w:rPr>
                <w:rFonts w:hint="eastAsia" w:ascii="楷体" w:hAnsi="楷体" w:eastAsia="楷体" w:cs="楷体"/>
                <w:sz w:val="24"/>
                <w:szCs w:val="24"/>
              </w:rPr>
              <w:t>采购人</w:t>
            </w:r>
            <w:r>
              <w:rPr>
                <w:rFonts w:hint="eastAsia" w:ascii="楷体" w:hAnsi="楷体" w:eastAsia="楷体" w:cs="楷体"/>
                <w:sz w:val="24"/>
                <w:szCs w:val="24"/>
                <w:lang w:val="en-US" w:eastAsia="zh-CN"/>
              </w:rPr>
              <w:t>有权</w:t>
            </w:r>
            <w:bookmarkStart w:id="12" w:name="_GoBack"/>
            <w:bookmarkEnd w:id="12"/>
            <w:r>
              <w:rPr>
                <w:rFonts w:hint="eastAsia" w:ascii="楷体" w:hAnsi="楷体" w:eastAsia="楷体" w:cs="楷体"/>
                <w:sz w:val="24"/>
                <w:szCs w:val="24"/>
              </w:rPr>
              <w:t>对成交候选人进行现场考察，并有权对成交候选人进行综合评判是否具备供货和质量保障能力。若不满足，则取消成交候选人资格。</w:t>
            </w:r>
          </w:p>
        </w:tc>
      </w:tr>
      <w:bookmarkEnd w:id="0"/>
      <w:bookmarkEnd w:id="1"/>
    </w:tbl>
    <w:p w14:paraId="6E6D8257">
      <w:pPr>
        <w:rPr>
          <w:rFonts w:hint="eastAsia" w:ascii="楷体" w:hAnsi="楷体" w:eastAsia="楷体" w:cs="楷体"/>
          <w:b/>
          <w:bCs w:val="0"/>
          <w:kern w:val="44"/>
          <w:sz w:val="32"/>
          <w:szCs w:val="20"/>
          <w:lang w:val="en-US" w:eastAsia="zh-CN" w:bidi="ar-SA"/>
        </w:rPr>
      </w:pPr>
      <w:r>
        <w:rPr>
          <w:rFonts w:hint="eastAsia" w:ascii="楷体" w:hAnsi="楷体" w:eastAsia="楷体" w:cs="楷体"/>
          <w:b/>
          <w:bCs w:val="0"/>
          <w:lang w:val="en-US" w:eastAsia="zh-CN"/>
        </w:rPr>
        <w:br w:type="page"/>
      </w:r>
    </w:p>
    <w:p w14:paraId="7600D97A">
      <w:pPr>
        <w:pStyle w:val="28"/>
        <w:numPr>
          <w:ilvl w:val="0"/>
          <w:numId w:val="1"/>
        </w:numPr>
        <w:rPr>
          <w:rFonts w:hint="eastAsia" w:ascii="楷体" w:hAnsi="楷体" w:eastAsia="楷体" w:cs="楷体"/>
          <w:b/>
          <w:bCs w:val="0"/>
          <w:kern w:val="44"/>
          <w:sz w:val="32"/>
          <w:szCs w:val="20"/>
          <w:lang w:val="en-US" w:eastAsia="zh-CN" w:bidi="ar-SA"/>
        </w:rPr>
      </w:pPr>
      <w:r>
        <w:rPr>
          <w:rFonts w:hint="eastAsia" w:ascii="楷体" w:hAnsi="楷体" w:eastAsia="楷体" w:cs="楷体"/>
          <w:b/>
          <w:bCs w:val="0"/>
          <w:lang w:val="en-US" w:eastAsia="zh-CN"/>
        </w:rPr>
        <w:t>报价</w:t>
      </w:r>
      <w:r>
        <w:rPr>
          <w:rFonts w:hint="eastAsia" w:ascii="楷体" w:hAnsi="楷体" w:eastAsia="楷体" w:cs="楷体"/>
          <w:b/>
          <w:bCs w:val="0"/>
          <w:kern w:val="44"/>
          <w:sz w:val="32"/>
          <w:szCs w:val="20"/>
          <w:lang w:val="en-US" w:eastAsia="zh-CN" w:bidi="ar-SA"/>
        </w:rPr>
        <w:t>人须知</w:t>
      </w:r>
    </w:p>
    <w:p w14:paraId="539AEA33">
      <w:pPr>
        <w:pStyle w:val="3"/>
        <w:spacing w:before="0" w:line="400" w:lineRule="exact"/>
        <w:rPr>
          <w:rFonts w:hint="eastAsia" w:ascii="楷体" w:hAnsi="楷体" w:eastAsia="楷体" w:cs="楷体"/>
          <w:sz w:val="24"/>
          <w:szCs w:val="24"/>
        </w:rPr>
      </w:pPr>
      <w:bookmarkStart w:id="3" w:name="_Toc343700738"/>
      <w:bookmarkStart w:id="4" w:name="_Toc343692940"/>
      <w:r>
        <w:rPr>
          <w:rFonts w:hint="eastAsia" w:ascii="楷体" w:hAnsi="楷体" w:eastAsia="楷体" w:cs="楷体"/>
          <w:sz w:val="24"/>
          <w:szCs w:val="24"/>
        </w:rPr>
        <w:t>一、总则</w:t>
      </w:r>
      <w:bookmarkEnd w:id="3"/>
      <w:bookmarkEnd w:id="4"/>
    </w:p>
    <w:p w14:paraId="649969B2">
      <w:pPr>
        <w:spacing w:line="400" w:lineRule="exact"/>
        <w:rPr>
          <w:rFonts w:hint="eastAsia" w:ascii="楷体" w:hAnsi="楷体" w:eastAsia="楷体" w:cs="楷体"/>
          <w:bCs/>
          <w:sz w:val="24"/>
          <w:szCs w:val="24"/>
        </w:rPr>
      </w:pPr>
      <w:r>
        <w:rPr>
          <w:rFonts w:hint="eastAsia" w:ascii="楷体" w:hAnsi="楷体" w:eastAsia="楷体" w:cs="楷体"/>
          <w:bCs/>
          <w:sz w:val="24"/>
          <w:szCs w:val="24"/>
        </w:rPr>
        <w:t>(一)原则</w:t>
      </w:r>
    </w:p>
    <w:p w14:paraId="70F7ED7A">
      <w:pPr>
        <w:spacing w:line="400" w:lineRule="exact"/>
        <w:rPr>
          <w:rFonts w:hint="eastAsia" w:ascii="楷体" w:hAnsi="楷体" w:eastAsia="楷体" w:cs="楷体"/>
          <w:bCs/>
          <w:sz w:val="24"/>
          <w:szCs w:val="24"/>
        </w:rPr>
      </w:pPr>
      <w:r>
        <w:rPr>
          <w:rFonts w:hint="eastAsia" w:ascii="楷体" w:hAnsi="楷体" w:eastAsia="楷体" w:cs="楷体"/>
          <w:bCs/>
          <w:sz w:val="24"/>
          <w:szCs w:val="24"/>
        </w:rPr>
        <w:t>坚持公开、公正、公平和诚实信用的原则。坚持质量优先，价格合理，科学评估，规范运作。</w:t>
      </w:r>
    </w:p>
    <w:p w14:paraId="79396694">
      <w:pPr>
        <w:spacing w:line="400" w:lineRule="exact"/>
        <w:rPr>
          <w:rFonts w:hint="eastAsia" w:ascii="楷体" w:hAnsi="楷体" w:eastAsia="楷体" w:cs="楷体"/>
          <w:bCs/>
          <w:sz w:val="24"/>
          <w:szCs w:val="24"/>
        </w:rPr>
      </w:pPr>
      <w:r>
        <w:rPr>
          <w:rFonts w:hint="eastAsia" w:ascii="楷体" w:hAnsi="楷体" w:eastAsia="楷体" w:cs="楷体"/>
          <w:bCs/>
          <w:sz w:val="24"/>
          <w:szCs w:val="24"/>
        </w:rPr>
        <w:t>(二) 供应商参与报价条件</w:t>
      </w:r>
    </w:p>
    <w:p w14:paraId="1E3D7696">
      <w:pPr>
        <w:spacing w:line="400" w:lineRule="exact"/>
        <w:rPr>
          <w:rFonts w:hint="eastAsia" w:ascii="楷体" w:hAnsi="楷体" w:eastAsia="楷体" w:cs="楷体"/>
          <w:bCs/>
          <w:sz w:val="24"/>
          <w:szCs w:val="24"/>
        </w:rPr>
      </w:pPr>
      <w:r>
        <w:rPr>
          <w:rFonts w:hint="eastAsia" w:ascii="楷体" w:hAnsi="楷体" w:eastAsia="楷体" w:cs="楷体"/>
          <w:bCs/>
          <w:sz w:val="24"/>
          <w:szCs w:val="24"/>
        </w:rPr>
        <w:t>1.具备法律主体资格。</w:t>
      </w:r>
    </w:p>
    <w:p w14:paraId="71754272">
      <w:pPr>
        <w:spacing w:line="400" w:lineRule="exact"/>
        <w:rPr>
          <w:rFonts w:hint="eastAsia" w:ascii="楷体" w:hAnsi="楷体" w:eastAsia="楷体" w:cs="楷体"/>
          <w:bCs/>
          <w:sz w:val="24"/>
          <w:szCs w:val="24"/>
        </w:rPr>
      </w:pPr>
      <w:r>
        <w:rPr>
          <w:rFonts w:hint="eastAsia" w:ascii="楷体" w:hAnsi="楷体" w:eastAsia="楷体" w:cs="楷体"/>
          <w:bCs/>
          <w:sz w:val="24"/>
          <w:szCs w:val="24"/>
        </w:rPr>
        <w:t>2.具备国家有关部门、行业要求必须取得的相关认证及其他经营许可；在有关部门和行业的监督检查中没有不良记录；与公司没有不良合作记录。</w:t>
      </w:r>
    </w:p>
    <w:p w14:paraId="200D182B">
      <w:pPr>
        <w:spacing w:line="400" w:lineRule="exact"/>
        <w:rPr>
          <w:rFonts w:hint="eastAsia" w:ascii="楷体" w:hAnsi="楷体" w:eastAsia="楷体" w:cs="楷体"/>
          <w:b/>
          <w:bCs/>
          <w:sz w:val="24"/>
          <w:szCs w:val="24"/>
        </w:rPr>
      </w:pPr>
      <w:r>
        <w:rPr>
          <w:rFonts w:hint="eastAsia" w:ascii="楷体" w:hAnsi="楷体" w:eastAsia="楷体" w:cs="楷体"/>
          <w:bCs/>
          <w:sz w:val="24"/>
          <w:szCs w:val="24"/>
        </w:rPr>
        <w:t>3.具有一定的经营规模和服务能力，有同产品的供应业绩，供应量不低于本次询价数量（采购人有权对成交候选单位进行考察时查验）。</w:t>
      </w:r>
    </w:p>
    <w:p w14:paraId="0304250A">
      <w:pPr>
        <w:spacing w:line="400" w:lineRule="exact"/>
        <w:rPr>
          <w:rFonts w:hint="eastAsia" w:ascii="楷体" w:hAnsi="楷体" w:eastAsia="楷体" w:cs="楷体"/>
          <w:bCs/>
          <w:sz w:val="24"/>
          <w:szCs w:val="24"/>
        </w:rPr>
      </w:pPr>
      <w:r>
        <w:rPr>
          <w:rFonts w:hint="eastAsia" w:ascii="楷体" w:hAnsi="楷体" w:eastAsia="楷体" w:cs="楷体"/>
          <w:bCs/>
          <w:sz w:val="24"/>
          <w:szCs w:val="24"/>
        </w:rPr>
        <w:t>4.具有良好的商业信誉。</w:t>
      </w:r>
    </w:p>
    <w:p w14:paraId="678E5107">
      <w:pPr>
        <w:spacing w:line="400" w:lineRule="exact"/>
        <w:rPr>
          <w:rFonts w:hint="eastAsia" w:ascii="楷体" w:hAnsi="楷体" w:eastAsia="楷体" w:cs="楷体"/>
          <w:bCs/>
          <w:sz w:val="24"/>
          <w:szCs w:val="24"/>
        </w:rPr>
      </w:pPr>
      <w:r>
        <w:rPr>
          <w:rFonts w:hint="eastAsia" w:ascii="楷体" w:hAnsi="楷体" w:eastAsia="楷体" w:cs="楷体"/>
          <w:bCs/>
          <w:sz w:val="24"/>
          <w:szCs w:val="24"/>
        </w:rPr>
        <w:t>(三)采购范围和交易方式</w:t>
      </w:r>
    </w:p>
    <w:p w14:paraId="1E1FEA0E">
      <w:pPr>
        <w:spacing w:line="400" w:lineRule="exact"/>
        <w:rPr>
          <w:rFonts w:hint="eastAsia" w:ascii="楷体" w:hAnsi="楷体" w:eastAsia="楷体" w:cs="楷体"/>
          <w:bCs/>
          <w:sz w:val="24"/>
          <w:szCs w:val="24"/>
        </w:rPr>
      </w:pPr>
      <w:r>
        <w:rPr>
          <w:rFonts w:hint="eastAsia" w:ascii="楷体" w:hAnsi="楷体" w:eastAsia="楷体" w:cs="楷体"/>
          <w:bCs/>
          <w:sz w:val="24"/>
          <w:szCs w:val="24"/>
        </w:rPr>
        <w:t>1．公开询价结束后，向成交企业发放《成交通知书》，成交企业凭《成交通知书》按照报价书价格签定具体采购合同。</w:t>
      </w:r>
    </w:p>
    <w:p w14:paraId="048BF329">
      <w:pPr>
        <w:spacing w:line="400" w:lineRule="exact"/>
        <w:rPr>
          <w:rFonts w:hint="eastAsia" w:ascii="楷体" w:hAnsi="楷体" w:eastAsia="楷体" w:cs="楷体"/>
          <w:bCs/>
          <w:sz w:val="24"/>
          <w:szCs w:val="24"/>
        </w:rPr>
      </w:pPr>
      <w:r>
        <w:rPr>
          <w:rFonts w:hint="eastAsia" w:ascii="楷体" w:hAnsi="楷体" w:eastAsia="楷体" w:cs="楷体"/>
          <w:bCs/>
          <w:sz w:val="24"/>
          <w:szCs w:val="24"/>
        </w:rPr>
        <w:t>2．供货和结算方式：成交企业根据合同供货，货款按合同规定结算。</w:t>
      </w:r>
    </w:p>
    <w:p w14:paraId="4F93CE42">
      <w:pPr>
        <w:spacing w:line="400" w:lineRule="exact"/>
        <w:rPr>
          <w:rFonts w:hint="eastAsia" w:ascii="楷体" w:hAnsi="楷体" w:eastAsia="楷体" w:cs="楷体"/>
          <w:bCs/>
          <w:sz w:val="24"/>
          <w:szCs w:val="24"/>
        </w:rPr>
      </w:pPr>
      <w:r>
        <w:rPr>
          <w:rFonts w:hint="eastAsia" w:ascii="楷体" w:hAnsi="楷体" w:eastAsia="楷体" w:cs="楷体"/>
          <w:bCs/>
          <w:sz w:val="24"/>
          <w:szCs w:val="24"/>
        </w:rPr>
        <w:t>3．供货过程中，如发现成交单位实际不具备供货条件，或所供应产品不符合相关质量要求，我司可终止与该成交单位合作。</w:t>
      </w:r>
    </w:p>
    <w:p w14:paraId="20132111">
      <w:pPr>
        <w:spacing w:line="400" w:lineRule="exact"/>
        <w:rPr>
          <w:rFonts w:hint="eastAsia" w:ascii="楷体" w:hAnsi="楷体" w:eastAsia="楷体" w:cs="楷体"/>
          <w:bCs/>
          <w:sz w:val="24"/>
          <w:szCs w:val="24"/>
        </w:rPr>
      </w:pPr>
      <w:r>
        <w:rPr>
          <w:rFonts w:hint="eastAsia" w:ascii="楷体" w:hAnsi="楷体" w:eastAsia="楷体" w:cs="楷体"/>
          <w:bCs/>
          <w:sz w:val="24"/>
          <w:szCs w:val="24"/>
        </w:rPr>
        <w:t>（四）合同文本采用公开询价单位提供的合同文本。供货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资格，我司与备选单位签订合同。</w:t>
      </w:r>
    </w:p>
    <w:p w14:paraId="5C65A27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5" w:name="_Toc343692941"/>
      <w:bookmarkStart w:id="6" w:name="_Toc343700739"/>
      <w:r>
        <w:rPr>
          <w:rFonts w:hint="eastAsia" w:ascii="楷体" w:hAnsi="楷体" w:eastAsia="楷体" w:cs="楷体"/>
          <w:sz w:val="24"/>
          <w:szCs w:val="24"/>
        </w:rPr>
        <w:t>二、</w:t>
      </w:r>
      <w:bookmarkEnd w:id="5"/>
      <w:bookmarkEnd w:id="6"/>
      <w:r>
        <w:rPr>
          <w:rFonts w:hint="eastAsia" w:ascii="楷体" w:hAnsi="楷体" w:eastAsia="楷体" w:cs="楷体"/>
          <w:sz w:val="24"/>
          <w:szCs w:val="24"/>
        </w:rPr>
        <w:t>公开询价报价说明</w:t>
      </w:r>
    </w:p>
    <w:p w14:paraId="199B05E5">
      <w:pPr>
        <w:spacing w:line="400" w:lineRule="exact"/>
        <w:rPr>
          <w:rFonts w:hint="eastAsia" w:ascii="楷体" w:hAnsi="楷体" w:eastAsia="楷体" w:cs="楷体"/>
          <w:bCs/>
          <w:sz w:val="24"/>
          <w:szCs w:val="24"/>
        </w:rPr>
      </w:pPr>
      <w:r>
        <w:rPr>
          <w:rFonts w:hint="eastAsia" w:ascii="楷体" w:hAnsi="楷体" w:eastAsia="楷体" w:cs="楷体"/>
          <w:bCs/>
          <w:sz w:val="24"/>
          <w:szCs w:val="24"/>
        </w:rPr>
        <w:t>(一)公开询价文件</w:t>
      </w:r>
    </w:p>
    <w:p w14:paraId="7AFF77CC">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1.公开询价函 </w:t>
      </w:r>
    </w:p>
    <w:p w14:paraId="0F032615">
      <w:pPr>
        <w:spacing w:line="400" w:lineRule="exact"/>
        <w:rPr>
          <w:rFonts w:hint="eastAsia" w:ascii="楷体" w:hAnsi="楷体" w:eastAsia="楷体" w:cs="楷体"/>
          <w:bCs/>
          <w:sz w:val="24"/>
          <w:szCs w:val="24"/>
        </w:rPr>
      </w:pPr>
      <w:r>
        <w:rPr>
          <w:rFonts w:hint="eastAsia" w:ascii="楷体" w:hAnsi="楷体" w:eastAsia="楷体" w:cs="楷体"/>
          <w:bCs/>
          <w:sz w:val="24"/>
          <w:szCs w:val="24"/>
        </w:rPr>
        <w:t xml:space="preserve">2.报价人须知    </w:t>
      </w:r>
    </w:p>
    <w:p w14:paraId="52D2846F">
      <w:pPr>
        <w:spacing w:line="400" w:lineRule="exact"/>
        <w:rPr>
          <w:rFonts w:hint="default" w:ascii="楷体" w:hAnsi="楷体" w:eastAsia="楷体" w:cs="楷体"/>
          <w:bCs/>
          <w:sz w:val="24"/>
          <w:szCs w:val="24"/>
          <w:lang w:val="en-US" w:eastAsia="zh-CN"/>
        </w:rPr>
      </w:pPr>
      <w:r>
        <w:rPr>
          <w:rFonts w:hint="eastAsia" w:ascii="楷体" w:hAnsi="楷体" w:eastAsia="楷体" w:cs="楷体"/>
          <w:bCs/>
          <w:sz w:val="24"/>
          <w:szCs w:val="24"/>
        </w:rPr>
        <w:t>3.合同（格式）</w:t>
      </w:r>
      <w:r>
        <w:rPr>
          <w:rFonts w:hint="eastAsia" w:ascii="楷体" w:hAnsi="楷体" w:eastAsia="楷体" w:cs="楷体"/>
          <w:bCs/>
          <w:sz w:val="24"/>
          <w:szCs w:val="24"/>
        </w:rPr>
        <w:br w:type="textWrapping"/>
      </w:r>
      <w:r>
        <w:rPr>
          <w:rFonts w:hint="eastAsia" w:ascii="楷体" w:hAnsi="楷体" w:eastAsia="楷体" w:cs="楷体"/>
          <w:bCs/>
          <w:sz w:val="24"/>
          <w:szCs w:val="24"/>
        </w:rPr>
        <w:t>4.报价</w:t>
      </w:r>
      <w:r>
        <w:rPr>
          <w:rFonts w:hint="eastAsia" w:ascii="楷体" w:hAnsi="楷体" w:eastAsia="楷体" w:cs="楷体"/>
          <w:bCs/>
          <w:sz w:val="24"/>
          <w:szCs w:val="24"/>
          <w:lang w:val="en-US" w:eastAsia="zh-CN"/>
        </w:rPr>
        <w:t>文件（格式）</w:t>
      </w:r>
    </w:p>
    <w:p w14:paraId="3676FAF9">
      <w:pPr>
        <w:spacing w:line="400" w:lineRule="exact"/>
        <w:rPr>
          <w:rFonts w:hint="eastAsia" w:ascii="楷体" w:hAnsi="楷体" w:eastAsia="楷体" w:cs="楷体"/>
          <w:bCs/>
          <w:sz w:val="24"/>
          <w:szCs w:val="24"/>
        </w:rPr>
      </w:pPr>
      <w:r>
        <w:rPr>
          <w:rFonts w:hint="eastAsia" w:ascii="楷体" w:hAnsi="楷体" w:eastAsia="楷体" w:cs="楷体"/>
          <w:bCs/>
          <w:sz w:val="24"/>
          <w:szCs w:val="24"/>
        </w:rPr>
        <w:t>（二）公开询价报价文件具体要求</w:t>
      </w:r>
    </w:p>
    <w:p w14:paraId="68B9E4B5">
      <w:pPr>
        <w:spacing w:line="400" w:lineRule="exact"/>
        <w:rPr>
          <w:rFonts w:hint="eastAsia" w:ascii="楷体" w:hAnsi="楷体" w:eastAsia="楷体" w:cs="楷体"/>
          <w:bCs/>
          <w:sz w:val="24"/>
          <w:szCs w:val="24"/>
        </w:rPr>
      </w:pPr>
      <w:r>
        <w:rPr>
          <w:rFonts w:hint="eastAsia" w:ascii="楷体" w:hAnsi="楷体" w:eastAsia="楷体" w:cs="楷体"/>
          <w:bCs/>
          <w:sz w:val="24"/>
          <w:szCs w:val="24"/>
        </w:rPr>
        <w:t>1.本次公开询价的内容：</w:t>
      </w:r>
      <w:r>
        <w:rPr>
          <w:rFonts w:hint="eastAsia" w:ascii="楷体" w:hAnsi="楷体" w:eastAsia="楷体" w:cs="楷体"/>
          <w:sz w:val="24"/>
          <w:szCs w:val="24"/>
          <w:u w:val="single"/>
        </w:rPr>
        <w:t>详见报价书</w:t>
      </w:r>
      <w:r>
        <w:rPr>
          <w:rFonts w:hint="eastAsia" w:ascii="楷体" w:hAnsi="楷体" w:eastAsia="楷体" w:cs="楷体"/>
          <w:bCs/>
          <w:sz w:val="24"/>
          <w:szCs w:val="24"/>
        </w:rPr>
        <w:t>。</w:t>
      </w:r>
    </w:p>
    <w:p w14:paraId="24FE7B02">
      <w:pPr>
        <w:spacing w:line="400" w:lineRule="exact"/>
        <w:rPr>
          <w:rFonts w:hint="eastAsia" w:ascii="楷体" w:hAnsi="楷体" w:eastAsia="楷体" w:cs="楷体"/>
          <w:sz w:val="24"/>
          <w:szCs w:val="24"/>
        </w:rPr>
      </w:pPr>
      <w:r>
        <w:rPr>
          <w:rFonts w:hint="eastAsia" w:ascii="楷体" w:hAnsi="楷体" w:eastAsia="楷体" w:cs="楷体"/>
          <w:bCs/>
          <w:sz w:val="24"/>
          <w:szCs w:val="24"/>
        </w:rPr>
        <w:t>2.承包方式：投标产品的</w:t>
      </w:r>
      <w:r>
        <w:rPr>
          <w:rFonts w:hint="eastAsia" w:ascii="楷体" w:hAnsi="楷体" w:eastAsia="楷体" w:cs="楷体"/>
          <w:sz w:val="24"/>
          <w:szCs w:val="24"/>
        </w:rPr>
        <w:t>供应（</w:t>
      </w:r>
      <w:r>
        <w:rPr>
          <w:rFonts w:hint="eastAsia" w:ascii="楷体" w:hAnsi="楷体" w:eastAsia="楷体" w:cs="楷体"/>
          <w:bCs/>
          <w:sz w:val="24"/>
          <w:szCs w:val="24"/>
          <w:lang w:val="zh-CN"/>
        </w:rPr>
        <w:t>包括货物价款、供应商出售该物资应缴纳税金及一切税费、包装费、保险费、运输费、装卸车费以及其他运抵至</w:t>
      </w:r>
      <w:r>
        <w:rPr>
          <w:rFonts w:hint="eastAsia" w:ascii="楷体" w:hAnsi="楷体" w:eastAsia="楷体" w:cs="楷体"/>
          <w:bCs/>
          <w:sz w:val="24"/>
          <w:szCs w:val="24"/>
        </w:rPr>
        <w:t>采购人</w:t>
      </w:r>
      <w:r>
        <w:rPr>
          <w:rFonts w:hint="eastAsia" w:ascii="楷体" w:hAnsi="楷体" w:eastAsia="楷体" w:cs="楷体"/>
          <w:bCs/>
          <w:sz w:val="24"/>
          <w:szCs w:val="24"/>
          <w:lang w:val="zh-CN"/>
        </w:rPr>
        <w:t>指定交货地点的一切费用；包括售后服务以及市场价格涨幅等的各类风险费用；以及其他所有相关服务费用，</w:t>
      </w:r>
      <w:r>
        <w:rPr>
          <w:rFonts w:hint="eastAsia" w:ascii="楷体" w:hAnsi="楷体" w:eastAsia="楷体" w:cs="楷体"/>
          <w:bCs/>
          <w:sz w:val="24"/>
          <w:szCs w:val="24"/>
          <w:lang w:val="en-US" w:eastAsia="zh-CN"/>
        </w:rPr>
        <w:t>成交人不得以任何理由要求成交后加价</w:t>
      </w:r>
      <w:r>
        <w:rPr>
          <w:rFonts w:hint="eastAsia" w:ascii="楷体" w:hAnsi="楷体" w:eastAsia="楷体" w:cs="楷体"/>
          <w:sz w:val="24"/>
          <w:szCs w:val="24"/>
        </w:rPr>
        <w:t>）。</w:t>
      </w:r>
    </w:p>
    <w:p w14:paraId="25D2062E">
      <w:pPr>
        <w:spacing w:line="400" w:lineRule="exact"/>
        <w:rPr>
          <w:rFonts w:hint="eastAsia" w:ascii="楷体" w:hAnsi="楷体" w:eastAsia="楷体" w:cs="楷体"/>
          <w:sz w:val="24"/>
          <w:szCs w:val="24"/>
        </w:rPr>
      </w:pPr>
      <w:r>
        <w:rPr>
          <w:rFonts w:hint="eastAsia" w:ascii="楷体" w:hAnsi="楷体" w:eastAsia="楷体" w:cs="楷体"/>
          <w:sz w:val="24"/>
          <w:szCs w:val="24"/>
        </w:rPr>
        <w:t>3.技术要求</w:t>
      </w:r>
    </w:p>
    <w:p w14:paraId="526D66EE">
      <w:pPr>
        <w:spacing w:line="360" w:lineRule="auto"/>
        <w:rPr>
          <w:rFonts w:hint="default" w:ascii="楷体" w:hAnsi="楷体" w:eastAsia="楷体" w:cs="楷体"/>
          <w:bCs/>
          <w:sz w:val="24"/>
          <w:szCs w:val="24"/>
          <w:lang w:val="en-US" w:eastAsia="zh-CN"/>
        </w:rPr>
      </w:pPr>
      <w:r>
        <w:rPr>
          <w:rFonts w:hint="eastAsia" w:ascii="楷体" w:hAnsi="楷体" w:eastAsia="楷体" w:cs="楷体"/>
          <w:bCs/>
          <w:sz w:val="24"/>
          <w:szCs w:val="24"/>
        </w:rPr>
        <w:t>3.</w:t>
      </w:r>
      <w:bookmarkStart w:id="7" w:name="_Toc343692942"/>
      <w:bookmarkStart w:id="8" w:name="_Toc343700740"/>
      <w:r>
        <w:rPr>
          <w:rFonts w:hint="eastAsia" w:ascii="楷体" w:hAnsi="楷体" w:eastAsia="楷体" w:cs="楷体"/>
          <w:bCs/>
          <w:sz w:val="24"/>
          <w:szCs w:val="24"/>
        </w:rPr>
        <w:t>1.供应材料均应符合国家标准、行业标准、地方标准及采购人提出的要求，按照《中华人民共和国产品质量法》及相关的产品质量标准规定执行及采购人公开询价报价要求、设计为准。具体技术标准和功能要求详见</w:t>
      </w:r>
      <w:r>
        <w:rPr>
          <w:rFonts w:hint="eastAsia" w:ascii="楷体" w:hAnsi="楷体" w:eastAsia="楷体" w:cs="楷体"/>
          <w:bCs/>
          <w:sz w:val="24"/>
          <w:szCs w:val="24"/>
          <w:lang w:val="en-US" w:eastAsia="zh-CN"/>
        </w:rPr>
        <w:t>第三章合同（格式）</w:t>
      </w:r>
      <w:r>
        <w:rPr>
          <w:rFonts w:hint="eastAsia" w:ascii="楷体" w:hAnsi="楷体" w:eastAsia="楷体" w:cs="楷体"/>
          <w:bCs/>
          <w:sz w:val="24"/>
          <w:szCs w:val="24"/>
        </w:rPr>
        <w:t>附件二《超声波水表技术标准和功能要求》。</w:t>
      </w:r>
    </w:p>
    <w:p w14:paraId="472AA6F8">
      <w:pPr>
        <w:spacing w:line="400" w:lineRule="exact"/>
        <w:rPr>
          <w:rFonts w:hint="eastAsia" w:ascii="楷体" w:hAnsi="楷体" w:eastAsia="楷体" w:cs="楷体"/>
          <w:bCs/>
          <w:sz w:val="24"/>
          <w:szCs w:val="24"/>
        </w:rPr>
      </w:pPr>
      <w:r>
        <w:rPr>
          <w:rFonts w:hint="eastAsia" w:ascii="楷体" w:hAnsi="楷体" w:eastAsia="楷体" w:cs="楷体"/>
          <w:bCs/>
          <w:sz w:val="24"/>
          <w:szCs w:val="24"/>
        </w:rPr>
        <w:t>3.2.进场的物资必须符合国家相关标准。如发生质量问题，供应商包退、包换。确保进场材料质量合格率100%，并须在材料进场的同时提供材料的质量检验部门的产品材质证明书（采购人有权对所采购的材料进行进一步检测），且材质证明书内容要和现场进料单及标牌所标明内容相对应。</w:t>
      </w:r>
    </w:p>
    <w:p w14:paraId="79D95D8A">
      <w:pPr>
        <w:spacing w:line="400" w:lineRule="exact"/>
        <w:rPr>
          <w:rFonts w:hint="eastAsia" w:ascii="楷体" w:hAnsi="楷体" w:eastAsia="楷体" w:cs="楷体"/>
          <w:bCs/>
          <w:sz w:val="24"/>
          <w:szCs w:val="24"/>
        </w:rPr>
      </w:pPr>
      <w:r>
        <w:rPr>
          <w:rFonts w:hint="eastAsia" w:ascii="楷体" w:hAnsi="楷体" w:eastAsia="楷体" w:cs="楷体"/>
          <w:bCs/>
          <w:sz w:val="24"/>
          <w:szCs w:val="24"/>
        </w:rPr>
        <w:t>3.3.材料质量应严格符合工程所需材料质量验收标准、设计、合同及有关工程施工及验收规范的要求。同时，供应商的材料质量必须满足采购人保证工程质量而对质量、服务等提出的各种进一步要求，并以之为依据出具详尽的服务承诺。供应的产品应以样品为样板，否则，采购人有权随时解除合同，由此造成采购人工期延误的损失及紧急订货增加的费用等均由供应商承担。</w:t>
      </w:r>
    </w:p>
    <w:p w14:paraId="5D38C652">
      <w:pPr>
        <w:spacing w:line="400" w:lineRule="exact"/>
        <w:rPr>
          <w:rFonts w:hint="eastAsia" w:ascii="楷体" w:hAnsi="楷体" w:eastAsia="楷体" w:cs="楷体"/>
          <w:bCs/>
          <w:sz w:val="24"/>
          <w:szCs w:val="24"/>
        </w:rPr>
      </w:pPr>
      <w:r>
        <w:rPr>
          <w:rFonts w:hint="eastAsia" w:ascii="楷体" w:hAnsi="楷体" w:eastAsia="楷体" w:cs="楷体"/>
          <w:bCs/>
          <w:sz w:val="24"/>
          <w:szCs w:val="24"/>
        </w:rPr>
        <w:t>3.4.供应商的产品应符合国家有关环保法律法规的规定以及采购人ISO14000环境体系要求，不能对施工环境造成污染；同时，该货物还应该符合采购人OHSMS18000职业安全健康管理体系标准的要求，不能对接触货物的有关人员及竣工后的使用人员的健康造成危害。</w:t>
      </w:r>
    </w:p>
    <w:p w14:paraId="28C308C0">
      <w:pPr>
        <w:spacing w:line="400" w:lineRule="exact"/>
        <w:rPr>
          <w:rFonts w:hint="eastAsia" w:ascii="楷体" w:hAnsi="楷体" w:eastAsia="楷体" w:cs="楷体"/>
          <w:bCs/>
          <w:sz w:val="24"/>
          <w:szCs w:val="24"/>
          <w:lang w:val="en-US" w:eastAsia="zh-CN"/>
        </w:rPr>
      </w:pPr>
      <w:r>
        <w:rPr>
          <w:rFonts w:hint="eastAsia" w:ascii="楷体" w:hAnsi="楷体" w:eastAsia="楷体" w:cs="楷体"/>
          <w:bCs/>
          <w:sz w:val="24"/>
          <w:szCs w:val="24"/>
        </w:rPr>
        <w:t>4.验收方法：</w:t>
      </w:r>
      <w:r>
        <w:rPr>
          <w:rFonts w:hint="eastAsia" w:ascii="楷体" w:hAnsi="楷体" w:eastAsia="楷体" w:cs="楷体"/>
          <w:bCs/>
          <w:sz w:val="24"/>
          <w:szCs w:val="24"/>
          <w:lang w:val="en-US" w:eastAsia="zh-CN"/>
        </w:rPr>
        <w:t>①整齐堆码点数计量；②具体验收合格数量以采购人、成交人、监理方及总包方共同确认数据为准。</w:t>
      </w:r>
    </w:p>
    <w:p w14:paraId="0B5806E8">
      <w:pPr>
        <w:spacing w:line="400" w:lineRule="exact"/>
        <w:rPr>
          <w:rFonts w:hint="eastAsia" w:ascii="楷体" w:hAnsi="楷体" w:eastAsia="楷体" w:cs="楷体"/>
          <w:bCs/>
          <w:sz w:val="24"/>
          <w:szCs w:val="24"/>
        </w:rPr>
      </w:pPr>
      <w:r>
        <w:rPr>
          <w:rFonts w:hint="eastAsia" w:ascii="楷体" w:hAnsi="楷体" w:eastAsia="楷体" w:cs="楷体"/>
          <w:bCs/>
          <w:sz w:val="24"/>
          <w:szCs w:val="24"/>
        </w:rPr>
        <w:t>采购人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14:paraId="16BCB6F6">
      <w:pPr>
        <w:spacing w:line="400" w:lineRule="exact"/>
        <w:rPr>
          <w:rFonts w:hint="eastAsia" w:ascii="楷体" w:hAnsi="楷体" w:eastAsia="楷体" w:cs="楷体"/>
          <w:bCs/>
          <w:sz w:val="24"/>
          <w:szCs w:val="24"/>
        </w:rPr>
      </w:pPr>
      <w:r>
        <w:rPr>
          <w:rFonts w:hint="eastAsia" w:ascii="楷体" w:hAnsi="楷体" w:eastAsia="楷体" w:cs="楷体"/>
          <w:bCs/>
          <w:sz w:val="24"/>
          <w:szCs w:val="24"/>
        </w:rPr>
        <w:t>5.送货方式：根据公开询价单位要求的时间送货到指定位置。</w:t>
      </w:r>
    </w:p>
    <w:p w14:paraId="33D2E78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14:paraId="626EFBA6">
      <w:pPr>
        <w:spacing w:line="400" w:lineRule="exact"/>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.对未成交的单位不做经济方面或其他方面的赔偿，也不做解释，谨对合作表示衷心的感谢。</w:t>
      </w:r>
    </w:p>
    <w:p w14:paraId="2A2EE94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三、报价书的编制和递交</w:t>
      </w:r>
      <w:bookmarkEnd w:id="7"/>
      <w:bookmarkEnd w:id="8"/>
    </w:p>
    <w:p w14:paraId="6F00653F">
      <w:pPr>
        <w:spacing w:line="400" w:lineRule="exact"/>
        <w:rPr>
          <w:rFonts w:hint="eastAsia" w:ascii="楷体" w:hAnsi="楷体" w:eastAsia="楷体" w:cs="楷体"/>
          <w:bCs/>
          <w:sz w:val="24"/>
          <w:szCs w:val="24"/>
        </w:rPr>
      </w:pPr>
      <w:r>
        <w:rPr>
          <w:rFonts w:hint="eastAsia" w:ascii="楷体" w:hAnsi="楷体" w:eastAsia="楷体" w:cs="楷体"/>
          <w:bCs/>
          <w:sz w:val="24"/>
          <w:szCs w:val="24"/>
        </w:rPr>
        <w:t>（一）材料构成：按照第四章报价</w:t>
      </w:r>
      <w:r>
        <w:rPr>
          <w:rFonts w:hint="eastAsia" w:ascii="楷体" w:hAnsi="楷体" w:eastAsia="楷体" w:cs="楷体"/>
          <w:bCs/>
          <w:sz w:val="24"/>
          <w:szCs w:val="24"/>
          <w:lang w:val="en-US" w:eastAsia="zh-CN"/>
        </w:rPr>
        <w:t>文件</w:t>
      </w:r>
      <w:r>
        <w:rPr>
          <w:rFonts w:hint="eastAsia" w:ascii="楷体" w:hAnsi="楷体" w:eastAsia="楷体" w:cs="楷体"/>
          <w:bCs/>
          <w:sz w:val="24"/>
          <w:szCs w:val="24"/>
        </w:rPr>
        <w:t>（格式）要求提供，内容包括：</w:t>
      </w:r>
    </w:p>
    <w:p w14:paraId="5BEC5BF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14:paraId="06F3C38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14:paraId="16B40A3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p>
    <w:p w14:paraId="573DFBA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4、</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无</w:t>
      </w:r>
      <w:r>
        <w:rPr>
          <w:rFonts w:hint="eastAsia" w:ascii="楷体" w:hAnsi="楷体" w:eastAsia="楷体" w:cs="楷体"/>
          <w:b/>
          <w:bCs/>
          <w:sz w:val="24"/>
          <w:szCs w:val="24"/>
        </w:rPr>
        <w:t>重大违法记录声明函</w:t>
      </w:r>
      <w:r>
        <w:rPr>
          <w:rFonts w:hint="eastAsia" w:ascii="楷体" w:hAnsi="楷体" w:eastAsia="楷体" w:cs="楷体"/>
          <w:b/>
          <w:bCs w:val="0"/>
          <w:sz w:val="24"/>
          <w:szCs w:val="24"/>
          <w:lang w:val="en-US" w:eastAsia="zh-CN"/>
        </w:rPr>
        <w:br w:type="textWrapping"/>
      </w:r>
      <w:r>
        <w:rPr>
          <w:rFonts w:hint="eastAsia" w:ascii="楷体" w:hAnsi="楷体" w:eastAsia="楷体" w:cs="楷体"/>
          <w:b/>
          <w:bCs w:val="0"/>
          <w:sz w:val="24"/>
          <w:szCs w:val="24"/>
          <w:lang w:val="en-US" w:eastAsia="zh-CN"/>
        </w:rPr>
        <w:t>5、需要提供的其他文件</w:t>
      </w:r>
    </w:p>
    <w:p w14:paraId="0D90F8A9">
      <w:pPr>
        <w:spacing w:line="400" w:lineRule="exact"/>
        <w:rPr>
          <w:rFonts w:hint="eastAsia" w:ascii="楷体" w:hAnsi="楷体" w:eastAsia="楷体" w:cs="楷体"/>
          <w:bCs/>
          <w:sz w:val="24"/>
          <w:szCs w:val="24"/>
        </w:rPr>
      </w:pPr>
      <w:r>
        <w:rPr>
          <w:rFonts w:hint="eastAsia" w:ascii="楷体" w:hAnsi="楷体" w:eastAsia="楷体" w:cs="楷体"/>
          <w:bCs/>
          <w:sz w:val="24"/>
          <w:szCs w:val="24"/>
        </w:rPr>
        <w:t>（二）填写要求:按照报价书格式要求签字、盖章</w:t>
      </w:r>
      <w:r>
        <w:rPr>
          <w:rFonts w:hint="eastAsia" w:ascii="楷体" w:hAnsi="楷体" w:eastAsia="楷体" w:cs="楷体"/>
          <w:bCs/>
          <w:sz w:val="24"/>
          <w:szCs w:val="24"/>
          <w:lang w:eastAsia="zh-CN"/>
        </w:rPr>
        <w:t>，</w:t>
      </w:r>
      <w:r>
        <w:rPr>
          <w:rFonts w:hint="eastAsia" w:ascii="楷体" w:hAnsi="楷体" w:eastAsia="楷体" w:cs="楷体"/>
          <w:bCs/>
          <w:sz w:val="24"/>
          <w:szCs w:val="24"/>
        </w:rPr>
        <w:t>报价</w:t>
      </w:r>
      <w:r>
        <w:rPr>
          <w:rFonts w:hint="eastAsia" w:ascii="楷体" w:hAnsi="楷体" w:eastAsia="楷体" w:cs="楷体"/>
          <w:bCs/>
          <w:sz w:val="24"/>
          <w:szCs w:val="24"/>
          <w:lang w:val="en-US" w:eastAsia="zh-CN"/>
        </w:rPr>
        <w:t>文件</w:t>
      </w:r>
      <w:r>
        <w:rPr>
          <w:rFonts w:hint="eastAsia" w:ascii="楷体" w:hAnsi="楷体" w:eastAsia="楷体" w:cs="楷体"/>
          <w:bCs/>
          <w:sz w:val="24"/>
          <w:szCs w:val="24"/>
        </w:rPr>
        <w:t>中的企业的名称应准确无误。</w:t>
      </w:r>
    </w:p>
    <w:p w14:paraId="7F2E8D1D">
      <w:pPr>
        <w:spacing w:line="400" w:lineRule="exact"/>
        <w:rPr>
          <w:rFonts w:hint="eastAsia" w:ascii="楷体" w:hAnsi="楷体" w:eastAsia="楷体" w:cs="楷体"/>
          <w:bCs/>
          <w:sz w:val="24"/>
          <w:szCs w:val="24"/>
        </w:rPr>
      </w:pPr>
      <w:r>
        <w:rPr>
          <w:rFonts w:hint="eastAsia" w:ascii="楷体" w:hAnsi="楷体" w:eastAsia="楷体" w:cs="楷体"/>
          <w:bCs/>
          <w:sz w:val="24"/>
          <w:szCs w:val="24"/>
        </w:rPr>
        <w:t>（三）材料递交时间和地点按海南洋浦陆海能源发展有限公司要求执行，因不可抗力原因，可酌情延长材料递交截止时间。</w:t>
      </w:r>
    </w:p>
    <w:p w14:paraId="43FAEA24">
      <w:pPr>
        <w:spacing w:line="400" w:lineRule="exact"/>
        <w:rPr>
          <w:rFonts w:hint="eastAsia" w:ascii="楷体" w:hAnsi="楷体" w:eastAsia="楷体" w:cs="楷体"/>
          <w:bCs/>
          <w:sz w:val="24"/>
          <w:szCs w:val="24"/>
        </w:rPr>
      </w:pPr>
      <w:r>
        <w:rPr>
          <w:rFonts w:hint="eastAsia" w:ascii="楷体" w:hAnsi="楷体" w:eastAsia="楷体" w:cs="楷体"/>
          <w:bCs/>
          <w:sz w:val="24"/>
          <w:szCs w:val="24"/>
        </w:rPr>
        <w:t>（四）材料其它要求</w:t>
      </w:r>
    </w:p>
    <w:p w14:paraId="7B76F4C9">
      <w:pPr>
        <w:spacing w:line="400" w:lineRule="exact"/>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65D6F1ED">
      <w:pPr>
        <w:spacing w:line="400" w:lineRule="exact"/>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递交报价文件</w:t>
      </w:r>
      <w:r>
        <w:rPr>
          <w:rFonts w:hint="eastAsia" w:ascii="楷体" w:hAnsi="楷体" w:eastAsia="楷体" w:cs="楷体"/>
          <w:bCs/>
          <w:sz w:val="24"/>
          <w:szCs w:val="24"/>
        </w:rPr>
        <w:t>时无需提供授权书，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后需提供厂家授权书。</w:t>
      </w:r>
    </w:p>
    <w:p w14:paraId="5499D177">
      <w:pPr>
        <w:spacing w:line="400" w:lineRule="exact"/>
        <w:rPr>
          <w:rFonts w:hint="eastAsia" w:ascii="楷体" w:hAnsi="楷体" w:eastAsia="楷体" w:cs="楷体"/>
          <w:bCs/>
          <w:sz w:val="24"/>
          <w:szCs w:val="24"/>
        </w:rPr>
      </w:pPr>
      <w:r>
        <w:rPr>
          <w:rFonts w:hint="eastAsia" w:ascii="楷体" w:hAnsi="楷体" w:eastAsia="楷体" w:cs="楷体"/>
          <w:bCs/>
          <w:sz w:val="24"/>
          <w:szCs w:val="24"/>
        </w:rPr>
        <w:t>3.提供虚假资质证明文件的，一经发现立即取消其资格，并交由相关部门依法处理。</w:t>
      </w:r>
    </w:p>
    <w:p w14:paraId="38802DE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申报材料应</w:t>
      </w:r>
      <w:r>
        <w:rPr>
          <w:rFonts w:hint="eastAsia" w:ascii="楷体" w:hAnsi="楷体" w:eastAsia="楷体" w:cs="楷体"/>
          <w:bCs/>
          <w:sz w:val="24"/>
          <w:szCs w:val="24"/>
          <w:lang w:val="en-US" w:eastAsia="zh-CN"/>
        </w:rPr>
        <w:t>按要求</w:t>
      </w:r>
      <w:r>
        <w:rPr>
          <w:rFonts w:hint="eastAsia" w:ascii="楷体" w:hAnsi="楷体" w:eastAsia="楷体" w:cs="楷体"/>
          <w:bCs/>
          <w:sz w:val="24"/>
          <w:szCs w:val="24"/>
        </w:rPr>
        <w:t>加盖企业公章，</w:t>
      </w:r>
      <w:r>
        <w:rPr>
          <w:rFonts w:hint="eastAsia" w:ascii="楷体" w:hAnsi="楷体" w:eastAsia="楷体" w:cs="楷体"/>
          <w:bCs/>
          <w:sz w:val="24"/>
          <w:szCs w:val="24"/>
          <w:lang w:val="en-US" w:eastAsia="zh-CN"/>
        </w:rPr>
        <w:t>扫描件、</w:t>
      </w:r>
      <w:r>
        <w:rPr>
          <w:rFonts w:hint="eastAsia" w:ascii="楷体" w:hAnsi="楷体" w:eastAsia="楷体" w:cs="楷体"/>
          <w:bCs/>
          <w:sz w:val="24"/>
          <w:szCs w:val="24"/>
        </w:rPr>
        <w:t>复印件应清晰、完整。</w:t>
      </w:r>
    </w:p>
    <w:p w14:paraId="523BCEB1">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9" w:name="_Toc343700748"/>
      <w:bookmarkStart w:id="10" w:name="_Toc343692950"/>
      <w:r>
        <w:rPr>
          <w:rFonts w:hint="eastAsia" w:ascii="楷体" w:hAnsi="楷体" w:eastAsia="楷体" w:cs="楷体"/>
          <w:sz w:val="24"/>
          <w:szCs w:val="24"/>
        </w:rPr>
        <w:t>四、报价</w:t>
      </w:r>
    </w:p>
    <w:p w14:paraId="436AEF7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一</w:t>
      </w:r>
      <w:r>
        <w:rPr>
          <w:rFonts w:hint="eastAsia" w:ascii="楷体" w:hAnsi="楷体" w:eastAsia="楷体" w:cs="楷体"/>
          <w:bCs/>
          <w:sz w:val="24"/>
          <w:szCs w:val="24"/>
        </w:rPr>
        <w:t>）报价使用货币为人民币，报价保留到小数点后两位。</w:t>
      </w:r>
    </w:p>
    <w:p w14:paraId="49F7CF23">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二</w:t>
      </w:r>
      <w:r>
        <w:rPr>
          <w:rFonts w:hint="eastAsia" w:ascii="楷体" w:hAnsi="楷体" w:eastAsia="楷体" w:cs="楷体"/>
          <w:bCs/>
          <w:sz w:val="24"/>
          <w:szCs w:val="24"/>
        </w:rPr>
        <w:t>）</w:t>
      </w:r>
      <w:r>
        <w:rPr>
          <w:rFonts w:hint="eastAsia" w:ascii="楷体" w:hAnsi="楷体" w:eastAsia="楷体" w:cs="楷体"/>
          <w:bCs/>
          <w:sz w:val="24"/>
          <w:szCs w:val="24"/>
          <w:lang w:val="en-US" w:eastAsia="zh-CN"/>
        </w:rPr>
        <w:t>含税</w:t>
      </w:r>
      <w:r>
        <w:rPr>
          <w:rFonts w:hint="eastAsia" w:ascii="楷体" w:hAnsi="楷体" w:eastAsia="楷体" w:cs="楷体"/>
          <w:bCs/>
          <w:sz w:val="24"/>
          <w:szCs w:val="24"/>
        </w:rPr>
        <w:t>报价</w:t>
      </w:r>
      <w:r>
        <w:rPr>
          <w:rFonts w:hint="eastAsia" w:ascii="楷体" w:hAnsi="楷体" w:eastAsia="楷体" w:cs="楷体"/>
          <w:bCs/>
          <w:sz w:val="24"/>
          <w:szCs w:val="24"/>
          <w:lang w:val="en-US" w:eastAsia="zh-CN"/>
        </w:rPr>
        <w:t>为</w:t>
      </w:r>
      <w:r>
        <w:rPr>
          <w:rFonts w:hint="eastAsia" w:ascii="楷体" w:hAnsi="楷体" w:eastAsia="楷体" w:cs="楷体"/>
          <w:bCs/>
          <w:sz w:val="24"/>
          <w:szCs w:val="24"/>
        </w:rPr>
        <w:t>供货商供应的落地价</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不含税报价=含税报价/（1+税率）</w:t>
      </w:r>
      <w:r>
        <w:rPr>
          <w:rFonts w:hint="eastAsia" w:ascii="楷体" w:hAnsi="楷体" w:eastAsia="楷体" w:cs="楷体"/>
          <w:sz w:val="24"/>
          <w:szCs w:val="24"/>
        </w:rPr>
        <w:t>。</w:t>
      </w:r>
    </w:p>
    <w:p w14:paraId="3119CB38">
      <w:pPr>
        <w:pStyle w:val="29"/>
        <w:numPr>
          <w:ilvl w:val="0"/>
          <w:numId w:val="0"/>
        </w:numPr>
        <w:spacing w:line="360" w:lineRule="auto"/>
        <w:jc w:val="both"/>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p>
    <w:p w14:paraId="35941A1D">
      <w:pPr>
        <w:pStyle w:val="3"/>
        <w:pageBreakBefore w:val="0"/>
        <w:widowControl w:val="0"/>
        <w:kinsoku/>
        <w:wordWrap/>
        <w:overflowPunct/>
        <w:topLinePunct w:val="0"/>
        <w:autoSpaceDE/>
        <w:autoSpaceDN/>
        <w:bidi w:val="0"/>
        <w:adjustRightInd/>
        <w:snapToGrid/>
        <w:spacing w:before="0" w:line="400" w:lineRule="exact"/>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五、澄清及说明</w:t>
      </w:r>
    </w:p>
    <w:p w14:paraId="7815DDA2">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default" w:ascii="楷体" w:hAnsi="楷体" w:eastAsia="楷体" w:cs="楷体"/>
          <w:bCs/>
          <w:sz w:val="24"/>
          <w:szCs w:val="24"/>
          <w:lang w:val="en-US" w:eastAsia="zh-CN"/>
        </w:rPr>
        <w:t>（一）报价人应仔细阅读和检查询价文件的全部内容。如发现缺页或附件不全，应及时向采购人提出，以便补齐。如有疑问，应在文件递交截止时间之前按公开询价函的联系方式将提出的问题送达采购人，要求采购人对询价文件予以澄清。除非采购人认为确有必要答复，否则，采购人有权拒绝回复。</w:t>
      </w:r>
    </w:p>
    <w:p w14:paraId="6D795510">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sectPr>
          <w:pgSz w:w="11906" w:h="16838"/>
          <w:pgMar w:top="1440" w:right="1800" w:bottom="1247" w:left="1800" w:header="851" w:footer="992" w:gutter="0"/>
          <w:cols w:space="0" w:num="1"/>
          <w:docGrid w:type="lines" w:linePitch="312" w:charSpace="0"/>
        </w:sectPr>
      </w:pPr>
      <w:r>
        <w:rPr>
          <w:rFonts w:hint="default" w:ascii="楷体" w:hAnsi="楷体" w:eastAsia="楷体" w:cs="楷体"/>
          <w:bCs/>
          <w:sz w:val="24"/>
          <w:szCs w:val="24"/>
          <w:lang w:val="en-US" w:eastAsia="zh-CN"/>
        </w:rPr>
        <w:t>（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w:t>
      </w:r>
      <w:r>
        <w:rPr>
          <w:rFonts w:hint="eastAsia" w:ascii="楷体" w:hAnsi="楷体" w:eastAsia="楷体" w:cs="楷体"/>
          <w:bCs/>
          <w:sz w:val="24"/>
          <w:szCs w:val="24"/>
          <w:lang w:val="en-US" w:eastAsia="zh-CN"/>
        </w:rPr>
        <w:t>。</w:t>
      </w:r>
    </w:p>
    <w:bookmarkEnd w:id="9"/>
    <w:bookmarkEnd w:id="10"/>
    <w:p w14:paraId="25F484D2">
      <w:pPr>
        <w:pStyle w:val="28"/>
        <w:numPr>
          <w:ilvl w:val="0"/>
          <w:numId w:val="1"/>
        </w:numPr>
        <w:rPr>
          <w:rFonts w:hint="eastAsia" w:ascii="楷体" w:hAnsi="楷体" w:eastAsia="楷体" w:cs="楷体"/>
          <w:b/>
          <w:bCs w:val="0"/>
          <w:lang w:val="en-US" w:eastAsia="zh-CN"/>
        </w:rPr>
      </w:pPr>
      <w:r>
        <w:rPr>
          <w:rFonts w:hint="eastAsia" w:ascii="楷体" w:hAnsi="楷体" w:eastAsia="楷体" w:cs="楷体"/>
          <w:b/>
          <w:bCs w:val="0"/>
          <w:lang w:val="en-US" w:eastAsia="zh-CN"/>
        </w:rPr>
        <w:t xml:space="preserve"> 合同（格式）</w:t>
      </w:r>
    </w:p>
    <w:p w14:paraId="1C1F1B92">
      <w:pPr>
        <w:ind w:left="36"/>
        <w:jc w:val="center"/>
        <w:rPr>
          <w:rFonts w:hint="eastAsia" w:ascii="楷体" w:hAnsi="楷体" w:eastAsia="楷体" w:cs="楷体"/>
          <w:b/>
          <w:bCs/>
          <w:kern w:val="44"/>
          <w:sz w:val="24"/>
          <w:szCs w:val="24"/>
        </w:rPr>
      </w:pPr>
    </w:p>
    <w:p w14:paraId="46D0CF49">
      <w:pPr>
        <w:ind w:left="36"/>
        <w:jc w:val="center"/>
        <w:rPr>
          <w:rFonts w:hint="eastAsia" w:ascii="楷体" w:hAnsi="楷体" w:eastAsia="楷体" w:cs="楷体"/>
          <w:b/>
          <w:bCs/>
          <w:kern w:val="44"/>
          <w:sz w:val="24"/>
          <w:szCs w:val="24"/>
        </w:rPr>
      </w:pPr>
    </w:p>
    <w:p w14:paraId="495BF34D">
      <w:pPr>
        <w:ind w:left="36"/>
        <w:jc w:val="center"/>
        <w:rPr>
          <w:rFonts w:hint="eastAsia" w:ascii="楷体" w:hAnsi="楷体" w:eastAsia="楷体" w:cs="楷体"/>
          <w:b/>
          <w:bCs/>
          <w:kern w:val="44"/>
          <w:sz w:val="24"/>
          <w:szCs w:val="24"/>
        </w:rPr>
      </w:pPr>
    </w:p>
    <w:p w14:paraId="56772C91">
      <w:pPr>
        <w:ind w:left="36"/>
        <w:jc w:val="center"/>
        <w:rPr>
          <w:rFonts w:hint="eastAsia" w:ascii="楷体" w:hAnsi="楷体" w:eastAsia="楷体" w:cs="楷体"/>
          <w:b/>
          <w:bCs/>
          <w:kern w:val="44"/>
          <w:sz w:val="24"/>
          <w:szCs w:val="24"/>
        </w:rPr>
      </w:pPr>
    </w:p>
    <w:p w14:paraId="3A185F59">
      <w:pPr>
        <w:ind w:left="36"/>
        <w:jc w:val="center"/>
        <w:rPr>
          <w:b/>
          <w:bCs/>
          <w:sz w:val="48"/>
          <w:szCs w:val="48"/>
          <w:lang w:bidi="zh-CN"/>
        </w:rPr>
      </w:pPr>
      <w:r>
        <w:rPr>
          <w:rFonts w:hint="eastAsia"/>
          <w:b/>
          <w:bCs/>
          <w:sz w:val="48"/>
          <w:szCs w:val="48"/>
          <w:lang w:bidi="zh-CN"/>
        </w:rPr>
        <w:t>儋州市光村、木棠、峨蔓一体化供水工程（三标段）超声波水表</w:t>
      </w:r>
    </w:p>
    <w:p w14:paraId="73570461">
      <w:pPr>
        <w:ind w:left="36"/>
        <w:jc w:val="center"/>
        <w:rPr>
          <w:rFonts w:hint="eastAsia" w:ascii="仿宋" w:hAnsi="仿宋" w:eastAsia="仿宋" w:cs="仿宋"/>
          <w:b/>
          <w:bCs/>
          <w:sz w:val="48"/>
          <w:szCs w:val="48"/>
          <w:lang w:val="zh-CN" w:bidi="zh-CN"/>
        </w:rPr>
      </w:pPr>
      <w:r>
        <w:rPr>
          <w:rFonts w:hint="eastAsia"/>
          <w:b/>
          <w:bCs/>
          <w:sz w:val="48"/>
          <w:szCs w:val="48"/>
          <w:lang w:bidi="zh-CN"/>
        </w:rPr>
        <w:t>采</w:t>
      </w:r>
      <w:r>
        <w:rPr>
          <w:rFonts w:hint="eastAsia"/>
          <w:b/>
          <w:bCs/>
          <w:sz w:val="48"/>
          <w:szCs w:val="48"/>
          <w:lang w:val="zh-CN" w:bidi="zh-CN"/>
        </w:rPr>
        <w:t>购合同</w:t>
      </w:r>
    </w:p>
    <w:p w14:paraId="73D132BA">
      <w:pPr>
        <w:rPr>
          <w:lang w:val="zh-CN" w:bidi="zh-CN"/>
        </w:rPr>
      </w:pPr>
    </w:p>
    <w:p w14:paraId="26629AD1">
      <w:pPr>
        <w:rPr>
          <w:lang w:val="zh-CN" w:bidi="zh-CN"/>
        </w:rPr>
      </w:pPr>
    </w:p>
    <w:p w14:paraId="4D29FC15">
      <w:pPr>
        <w:rPr>
          <w:lang w:val="zh-CN" w:bidi="zh-CN"/>
        </w:rPr>
      </w:pPr>
    </w:p>
    <w:p w14:paraId="775BADC6">
      <w:pPr>
        <w:rPr>
          <w:lang w:val="zh-CN" w:bidi="zh-CN"/>
        </w:rPr>
      </w:pPr>
    </w:p>
    <w:p w14:paraId="5FDB209D">
      <w:pPr>
        <w:jc w:val="center"/>
        <w:rPr>
          <w:sz w:val="24"/>
          <w:szCs w:val="24"/>
          <w:lang w:bidi="zh-CN"/>
        </w:rPr>
      </w:pPr>
    </w:p>
    <w:p w14:paraId="3FDA030F">
      <w:pPr>
        <w:jc w:val="center"/>
        <w:rPr>
          <w:sz w:val="24"/>
          <w:szCs w:val="24"/>
          <w:lang w:bidi="zh-CN"/>
        </w:rPr>
      </w:pPr>
      <w:r>
        <w:rPr>
          <w:rFonts w:hint="eastAsia"/>
          <w:sz w:val="24"/>
          <w:szCs w:val="24"/>
          <w:lang w:bidi="zh-CN"/>
        </w:rPr>
        <w:t>合同编号：</w:t>
      </w:r>
    </w:p>
    <w:p w14:paraId="53E0F07A"/>
    <w:p w14:paraId="6C9BA6CB"/>
    <w:p w14:paraId="6B576A8E">
      <w:pPr>
        <w:rPr>
          <w:lang w:val="zh-CN" w:bidi="zh-CN"/>
        </w:rPr>
      </w:pPr>
    </w:p>
    <w:p w14:paraId="3598C5D0">
      <w:pPr>
        <w:rPr>
          <w:lang w:val="zh-CN" w:bidi="zh-CN"/>
        </w:rPr>
      </w:pPr>
    </w:p>
    <w:p w14:paraId="4B64D275">
      <w:pPr>
        <w:rPr>
          <w:lang w:val="zh-CN" w:bidi="zh-CN"/>
        </w:rPr>
      </w:pPr>
    </w:p>
    <w:p w14:paraId="1325E683">
      <w:pPr>
        <w:rPr>
          <w:lang w:val="zh-CN" w:bidi="zh-CN"/>
        </w:rPr>
      </w:pPr>
    </w:p>
    <w:p w14:paraId="5C48028E">
      <w:pPr>
        <w:rPr>
          <w:lang w:val="zh-CN" w:bidi="zh-CN"/>
        </w:rPr>
      </w:pPr>
    </w:p>
    <w:p w14:paraId="5A3D015F">
      <w:pPr>
        <w:rPr>
          <w:lang w:val="zh-CN" w:bidi="zh-CN"/>
        </w:rPr>
      </w:pPr>
    </w:p>
    <w:p w14:paraId="335EF6B1">
      <w:pPr>
        <w:rPr>
          <w:lang w:val="zh-CN" w:bidi="zh-CN"/>
        </w:rPr>
      </w:pPr>
    </w:p>
    <w:p w14:paraId="132E938C">
      <w:pPr>
        <w:rPr>
          <w:lang w:val="zh-CN" w:bidi="zh-CN"/>
        </w:rPr>
      </w:pPr>
    </w:p>
    <w:p w14:paraId="33CA7372">
      <w:pPr>
        <w:rPr>
          <w:lang w:val="zh-CN" w:bidi="zh-CN"/>
        </w:rPr>
      </w:pPr>
    </w:p>
    <w:p w14:paraId="4DCF2330">
      <w:pPr>
        <w:rPr>
          <w:lang w:val="zh-CN" w:bidi="zh-CN"/>
        </w:rPr>
      </w:pPr>
    </w:p>
    <w:p w14:paraId="43AF3F5E">
      <w:pPr>
        <w:ind w:left="186" w:hanging="150"/>
        <w:rPr>
          <w:rFonts w:hint="eastAsia" w:ascii="仿宋" w:hAnsi="仿宋" w:eastAsia="仿宋" w:cs="仿宋"/>
          <w:sz w:val="30"/>
          <w:szCs w:val="30"/>
          <w:u w:val="single"/>
          <w:lang w:val="zh-CN" w:bidi="zh-CN"/>
        </w:rPr>
      </w:pPr>
      <w:r>
        <w:rPr>
          <w:rFonts w:hint="eastAsia" w:ascii="仿宋" w:hAnsi="仿宋" w:eastAsia="仿宋" w:cs="仿宋"/>
          <w:sz w:val="30"/>
          <w:szCs w:val="30"/>
          <w:lang w:val="zh-CN" w:bidi="zh-CN"/>
        </w:rPr>
        <w:t>甲方（采购方）：</w:t>
      </w:r>
      <w:r>
        <w:rPr>
          <w:rFonts w:hint="eastAsia" w:ascii="仿宋" w:hAnsi="仿宋" w:eastAsia="仿宋" w:cs="仿宋"/>
          <w:sz w:val="30"/>
          <w:szCs w:val="30"/>
          <w:u w:val="single"/>
          <w:lang w:val="zh-CN" w:bidi="zh-CN"/>
        </w:rPr>
        <w:t>海南洋浦陆海能源发展有限公司</w:t>
      </w:r>
    </w:p>
    <w:p w14:paraId="342F8827">
      <w:pPr>
        <w:ind w:left="186" w:hanging="150"/>
        <w:rPr>
          <w:rFonts w:hint="eastAsia" w:ascii="仿宋" w:hAnsi="仿宋" w:eastAsia="仿宋" w:cs="仿宋"/>
          <w:sz w:val="30"/>
          <w:szCs w:val="30"/>
          <w:u w:val="single"/>
          <w:lang w:bidi="zh-CN"/>
        </w:rPr>
      </w:pPr>
      <w:r>
        <w:rPr>
          <w:rFonts w:hint="eastAsia" w:ascii="仿宋" w:hAnsi="仿宋" w:eastAsia="仿宋" w:cs="仿宋"/>
          <w:sz w:val="30"/>
          <w:szCs w:val="30"/>
          <w:lang w:val="zh-CN" w:bidi="zh-CN"/>
        </w:rPr>
        <w:t>乙方（供应商）：</w:t>
      </w:r>
      <w:r>
        <w:rPr>
          <w:rFonts w:hint="eastAsia" w:ascii="仿宋" w:hAnsi="仿宋" w:eastAsia="仿宋" w:cs="仿宋"/>
          <w:sz w:val="30"/>
          <w:szCs w:val="30"/>
          <w:u w:val="single"/>
          <w:lang w:bidi="zh-CN"/>
        </w:rPr>
        <w:t xml:space="preserve">                            </w:t>
      </w:r>
    </w:p>
    <w:p w14:paraId="4FF37297">
      <w:pPr>
        <w:ind w:left="186" w:hanging="150"/>
        <w:rPr>
          <w:rFonts w:hint="eastAsia" w:ascii="仿宋" w:hAnsi="仿宋" w:eastAsia="仿宋" w:cs="仿宋"/>
          <w:sz w:val="30"/>
          <w:szCs w:val="30"/>
          <w:u w:val="single"/>
          <w:lang w:val="zh-CN" w:bidi="zh-CN"/>
        </w:rPr>
      </w:pPr>
      <w:r>
        <w:rPr>
          <w:rFonts w:hint="eastAsia" w:ascii="仿宋" w:hAnsi="仿宋" w:eastAsia="仿宋" w:cs="仿宋"/>
          <w:sz w:val="30"/>
          <w:szCs w:val="30"/>
          <w:lang w:val="zh-CN" w:bidi="zh-CN"/>
        </w:rPr>
        <w:t>签约地点：</w:t>
      </w:r>
      <w:r>
        <w:rPr>
          <w:rFonts w:hint="eastAsia" w:ascii="仿宋" w:hAnsi="仿宋" w:eastAsia="仿宋" w:cs="仿宋"/>
          <w:sz w:val="30"/>
          <w:szCs w:val="30"/>
          <w:u w:val="single"/>
          <w:lang w:bidi="zh-CN"/>
        </w:rPr>
        <w:t>海南省儋州市洋浦经济开发区</w:t>
      </w:r>
    </w:p>
    <w:p w14:paraId="2C517266">
      <w:pPr>
        <w:ind w:left="186" w:hanging="150"/>
        <w:rPr>
          <w:rFonts w:hint="eastAsia" w:ascii="仿宋" w:hAnsi="仿宋" w:eastAsia="仿宋" w:cs="仿宋"/>
          <w:b/>
          <w:sz w:val="30"/>
          <w:szCs w:val="30"/>
          <w:u w:val="single"/>
          <w:lang w:val="zh-CN" w:bidi="zh-CN"/>
        </w:rPr>
      </w:pPr>
      <w:r>
        <w:rPr>
          <w:rFonts w:hint="eastAsia" w:ascii="仿宋" w:hAnsi="仿宋" w:eastAsia="仿宋" w:cs="仿宋"/>
          <w:sz w:val="30"/>
          <w:szCs w:val="30"/>
          <w:lang w:val="zh-CN" w:bidi="zh-CN"/>
        </w:rPr>
        <w:t>签约时间：</w:t>
      </w:r>
      <w:r>
        <w:rPr>
          <w:rFonts w:hint="eastAsia" w:ascii="仿宋" w:hAnsi="仿宋" w:eastAsia="仿宋" w:cs="仿宋"/>
          <w:sz w:val="30"/>
          <w:szCs w:val="30"/>
          <w:u w:val="single"/>
          <w:lang w:val="zh-CN" w:bidi="zh-CN"/>
        </w:rPr>
        <w:t>2024年</w:t>
      </w:r>
      <w:r>
        <w:rPr>
          <w:rFonts w:hint="eastAsia" w:ascii="仿宋" w:hAnsi="仿宋" w:eastAsia="仿宋" w:cs="仿宋"/>
          <w:sz w:val="30"/>
          <w:szCs w:val="30"/>
          <w:u w:val="single"/>
          <w:lang w:bidi="zh-CN"/>
        </w:rPr>
        <w:t xml:space="preserve"> </w:t>
      </w:r>
      <w:r>
        <w:rPr>
          <w:rFonts w:hint="eastAsia" w:ascii="仿宋" w:hAnsi="仿宋" w:eastAsia="仿宋" w:cs="仿宋"/>
          <w:sz w:val="30"/>
          <w:szCs w:val="30"/>
          <w:u w:val="single"/>
          <w:lang w:val="zh-CN" w:bidi="zh-CN"/>
        </w:rPr>
        <w:t>月</w:t>
      </w:r>
      <w:r>
        <w:rPr>
          <w:rFonts w:hint="eastAsia" w:ascii="仿宋" w:hAnsi="仿宋" w:eastAsia="仿宋" w:cs="仿宋"/>
          <w:sz w:val="30"/>
          <w:szCs w:val="30"/>
          <w:u w:val="single"/>
          <w:lang w:bidi="zh-CN"/>
        </w:rPr>
        <w:t xml:space="preserve"> </w:t>
      </w:r>
      <w:r>
        <w:rPr>
          <w:rFonts w:hint="eastAsia" w:ascii="仿宋" w:hAnsi="仿宋" w:eastAsia="仿宋" w:cs="仿宋"/>
          <w:sz w:val="30"/>
          <w:szCs w:val="30"/>
          <w:u w:val="single"/>
          <w:lang w:val="zh-CN" w:bidi="zh-CN"/>
        </w:rPr>
        <w:t>日</w:t>
      </w:r>
    </w:p>
    <w:p w14:paraId="48B00D3E">
      <w:pPr>
        <w:rPr>
          <w:lang w:val="zh-CN" w:bidi="zh-CN"/>
        </w:rPr>
      </w:pPr>
    </w:p>
    <w:p w14:paraId="7DA6129C">
      <w:pPr>
        <w:rPr>
          <w:rFonts w:hint="eastAsia" w:ascii="仿宋" w:hAnsi="仿宋" w:eastAsia="仿宋" w:cs="仿宋"/>
          <w:sz w:val="24"/>
          <w:szCs w:val="24"/>
          <w:lang w:val="zh-CN" w:bidi="zh-CN"/>
        </w:rPr>
      </w:pPr>
      <w:r>
        <w:rPr>
          <w:rFonts w:hint="eastAsia" w:ascii="仿宋" w:hAnsi="仿宋" w:eastAsia="仿宋" w:cs="仿宋"/>
          <w:sz w:val="24"/>
          <w:szCs w:val="24"/>
          <w:lang w:val="zh-CN" w:bidi="zh-CN"/>
        </w:rPr>
        <w:br w:type="page"/>
      </w:r>
    </w:p>
    <w:p w14:paraId="73BAC11B">
      <w:pPr>
        <w:spacing w:line="480" w:lineRule="exact"/>
        <w:rPr>
          <w:rFonts w:hint="eastAsia" w:ascii="仿宋" w:hAnsi="仿宋" w:eastAsia="仿宋" w:cs="仿宋"/>
          <w:sz w:val="24"/>
          <w:szCs w:val="24"/>
          <w:lang w:val="zh-CN" w:bidi="zh-CN"/>
        </w:rPr>
      </w:pPr>
      <w:r>
        <w:rPr>
          <w:rFonts w:hint="eastAsia" w:ascii="仿宋" w:hAnsi="仿宋" w:eastAsia="仿宋" w:cs="仿宋"/>
          <w:sz w:val="24"/>
          <w:szCs w:val="24"/>
          <w:lang w:val="zh-CN" w:bidi="zh-CN"/>
        </w:rPr>
        <w:t>甲  方：</w:t>
      </w:r>
      <w:r>
        <w:rPr>
          <w:rFonts w:hint="eastAsia" w:ascii="仿宋" w:hAnsi="仿宋" w:eastAsia="仿宋" w:cs="仿宋"/>
          <w:sz w:val="24"/>
          <w:szCs w:val="24"/>
          <w:u w:val="single"/>
          <w:lang w:val="zh-CN" w:bidi="zh-CN"/>
        </w:rPr>
        <w:t>海南洋浦陆海能源发展有限公司</w:t>
      </w:r>
      <w:r>
        <w:rPr>
          <w:rFonts w:hint="eastAsia" w:ascii="仿宋" w:hAnsi="仿宋" w:eastAsia="仿宋" w:cs="仿宋"/>
          <w:sz w:val="24"/>
          <w:szCs w:val="24"/>
          <w:lang w:val="zh-CN" w:bidi="zh-CN"/>
        </w:rPr>
        <w:t xml:space="preserve">                                               </w:t>
      </w:r>
    </w:p>
    <w:p w14:paraId="30C938CA">
      <w:pPr>
        <w:spacing w:line="480" w:lineRule="exact"/>
        <w:rPr>
          <w:rFonts w:hint="eastAsia" w:ascii="仿宋" w:hAnsi="仿宋" w:eastAsia="仿宋" w:cs="仿宋"/>
          <w:sz w:val="24"/>
          <w:szCs w:val="24"/>
          <w:u w:val="single"/>
          <w:lang w:bidi="zh-CN"/>
        </w:rPr>
      </w:pPr>
      <w:r>
        <w:rPr>
          <w:rFonts w:hint="eastAsia" w:ascii="仿宋" w:hAnsi="仿宋" w:eastAsia="仿宋" w:cs="仿宋"/>
          <w:sz w:val="24"/>
          <w:szCs w:val="24"/>
          <w:lang w:val="zh-CN" w:bidi="zh-CN"/>
        </w:rPr>
        <w:t>住  所：</w:t>
      </w:r>
      <w:r>
        <w:rPr>
          <w:rFonts w:hint="eastAsia" w:ascii="仿宋" w:hAnsi="仿宋" w:eastAsia="仿宋" w:cs="仿宋"/>
          <w:sz w:val="24"/>
          <w:szCs w:val="24"/>
          <w:u w:val="single"/>
          <w:lang w:bidi="zh-CN"/>
        </w:rPr>
        <w:t xml:space="preserve">               </w:t>
      </w:r>
    </w:p>
    <w:p w14:paraId="189A217F">
      <w:pPr>
        <w:spacing w:line="480" w:lineRule="exact"/>
        <w:rPr>
          <w:rFonts w:hint="eastAsia" w:ascii="仿宋" w:hAnsi="仿宋" w:eastAsia="仿宋" w:cs="仿宋"/>
          <w:b/>
          <w:bCs/>
          <w:sz w:val="24"/>
          <w:szCs w:val="24"/>
        </w:rPr>
      </w:pPr>
      <w:r>
        <w:rPr>
          <w:rFonts w:hint="eastAsia" w:ascii="仿宋" w:hAnsi="仿宋" w:eastAsia="仿宋" w:cs="仿宋"/>
          <w:sz w:val="24"/>
          <w:szCs w:val="24"/>
          <w:lang w:val="zh-CN" w:bidi="zh-CN"/>
        </w:rPr>
        <w:t xml:space="preserve">法定代表人：  </w:t>
      </w:r>
      <w:r>
        <w:rPr>
          <w:rFonts w:hint="eastAsia" w:ascii="仿宋" w:hAnsi="仿宋" w:eastAsia="仿宋" w:cs="仿宋"/>
          <w:b/>
          <w:bCs/>
          <w:sz w:val="24"/>
          <w:szCs w:val="24"/>
        </w:rPr>
        <w:t xml:space="preserve">      </w:t>
      </w:r>
    </w:p>
    <w:p w14:paraId="6EEF431F">
      <w:pPr>
        <w:spacing w:line="480" w:lineRule="exact"/>
        <w:rPr>
          <w:rFonts w:hint="eastAsia" w:ascii="仿宋" w:hAnsi="仿宋" w:eastAsia="仿宋" w:cs="仿宋"/>
          <w:sz w:val="24"/>
          <w:szCs w:val="24"/>
          <w:lang w:val="zh-CN" w:bidi="zh-CN"/>
        </w:rPr>
      </w:pPr>
      <w:r>
        <w:rPr>
          <w:rFonts w:hint="eastAsia" w:ascii="仿宋" w:hAnsi="仿宋" w:eastAsia="仿宋" w:cs="仿宋"/>
          <w:snapToGrid w:val="0"/>
          <w:sz w:val="24"/>
          <w:szCs w:val="24"/>
          <w:lang w:val="zh-CN" w:bidi="zh-CN"/>
        </w:rPr>
        <w:t>乙  方</w:t>
      </w:r>
      <w:r>
        <w:rPr>
          <w:rFonts w:hint="eastAsia" w:ascii="仿宋" w:hAnsi="仿宋" w:eastAsia="仿宋" w:cs="仿宋"/>
          <w:sz w:val="24"/>
          <w:szCs w:val="24"/>
          <w:lang w:val="zh-CN" w:bidi="zh-CN"/>
        </w:rPr>
        <w:t>：</w:t>
      </w:r>
      <w:r>
        <w:rPr>
          <w:rFonts w:hint="eastAsia" w:ascii="仿宋" w:hAnsi="仿宋" w:eastAsia="仿宋" w:cs="仿宋"/>
          <w:sz w:val="24"/>
          <w:szCs w:val="24"/>
          <w:lang w:bidi="zh-CN"/>
        </w:rPr>
        <w:t xml:space="preserve"> </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lang w:val="zh-CN" w:bidi="zh-CN"/>
        </w:rPr>
        <w:t xml:space="preserve">                                               </w:t>
      </w:r>
    </w:p>
    <w:p w14:paraId="26851B8F">
      <w:pPr>
        <w:spacing w:line="480" w:lineRule="exact"/>
        <w:rPr>
          <w:rFonts w:hint="eastAsia" w:ascii="仿宋" w:hAnsi="仿宋" w:eastAsia="仿宋" w:cs="仿宋"/>
          <w:sz w:val="24"/>
          <w:szCs w:val="24"/>
          <w:lang w:bidi="zh-CN"/>
        </w:rPr>
      </w:pPr>
      <w:r>
        <w:rPr>
          <w:rFonts w:hint="eastAsia" w:ascii="仿宋" w:hAnsi="仿宋" w:eastAsia="仿宋" w:cs="仿宋"/>
          <w:sz w:val="24"/>
          <w:szCs w:val="24"/>
          <w:lang w:val="zh-CN" w:bidi="zh-CN"/>
        </w:rPr>
        <w:t>住  所：</w:t>
      </w:r>
      <w:r>
        <w:rPr>
          <w:rFonts w:hint="eastAsia" w:ascii="仿宋" w:hAnsi="仿宋" w:eastAsia="仿宋" w:cs="仿宋"/>
          <w:sz w:val="24"/>
          <w:szCs w:val="24"/>
          <w:u w:val="single"/>
          <w:lang w:bidi="zh-CN"/>
        </w:rPr>
        <w:t xml:space="preserve">              </w:t>
      </w:r>
    </w:p>
    <w:p w14:paraId="71F120AD">
      <w:pPr>
        <w:spacing w:line="480" w:lineRule="exact"/>
        <w:rPr>
          <w:rFonts w:hint="eastAsia" w:ascii="仿宋" w:hAnsi="仿宋" w:eastAsia="仿宋" w:cs="仿宋"/>
          <w:b/>
          <w:bCs/>
          <w:sz w:val="24"/>
          <w:szCs w:val="24"/>
        </w:rPr>
      </w:pPr>
      <w:r>
        <w:rPr>
          <w:rFonts w:hint="eastAsia" w:ascii="仿宋" w:hAnsi="仿宋" w:eastAsia="仿宋" w:cs="仿宋"/>
          <w:sz w:val="24"/>
          <w:szCs w:val="24"/>
          <w:lang w:val="zh-CN" w:bidi="zh-CN"/>
        </w:rPr>
        <w:t xml:space="preserve">法定代表人：  </w:t>
      </w:r>
      <w:r>
        <w:rPr>
          <w:rFonts w:hint="eastAsia" w:ascii="仿宋" w:hAnsi="仿宋" w:eastAsia="仿宋" w:cs="仿宋"/>
          <w:b/>
          <w:bCs/>
          <w:sz w:val="24"/>
          <w:szCs w:val="24"/>
        </w:rPr>
        <w:t xml:space="preserve">       </w:t>
      </w:r>
    </w:p>
    <w:p w14:paraId="21F85686">
      <w:pPr>
        <w:spacing w:line="480" w:lineRule="exact"/>
        <w:ind w:left="36" w:firstLine="720" w:firstLineChars="300"/>
        <w:rPr>
          <w:rFonts w:hint="eastAsia" w:ascii="仿宋" w:hAnsi="仿宋" w:eastAsia="仿宋" w:cs="仿宋"/>
          <w:sz w:val="24"/>
          <w:szCs w:val="24"/>
          <w:lang w:val="zh-CN" w:bidi="zh-CN"/>
        </w:rPr>
      </w:pPr>
      <w:r>
        <w:rPr>
          <w:rFonts w:hint="eastAsia" w:ascii="仿宋" w:hAnsi="仿宋" w:eastAsia="仿宋" w:cs="仿宋"/>
          <w:sz w:val="24"/>
          <w:szCs w:val="24"/>
          <w:lang w:val="zh-CN" w:bidi="zh-CN"/>
        </w:rPr>
        <w:t>根据《中华人民共和国民法典》及相关法律法规</w:t>
      </w:r>
      <w:r>
        <w:rPr>
          <w:rFonts w:hint="eastAsia" w:ascii="仿宋" w:hAnsi="仿宋" w:eastAsia="仿宋" w:cs="仿宋"/>
          <w:sz w:val="24"/>
          <w:szCs w:val="24"/>
          <w:lang w:bidi="zh-CN"/>
        </w:rPr>
        <w:t>和超声波水表询价文件及报价文件</w:t>
      </w:r>
      <w:r>
        <w:rPr>
          <w:rFonts w:hint="eastAsia" w:ascii="仿宋" w:hAnsi="仿宋" w:eastAsia="仿宋" w:cs="仿宋"/>
          <w:sz w:val="24"/>
          <w:szCs w:val="24"/>
          <w:lang w:val="zh-CN" w:bidi="zh-CN"/>
        </w:rPr>
        <w:t>，为明确甲方与乙方的权利义务，经双方协商一致，</w:t>
      </w:r>
      <w:r>
        <w:rPr>
          <w:rFonts w:hint="eastAsia" w:ascii="仿宋" w:hAnsi="仿宋" w:eastAsia="仿宋" w:cs="仿宋"/>
          <w:sz w:val="24"/>
          <w:szCs w:val="24"/>
          <w:lang w:bidi="zh-CN"/>
        </w:rPr>
        <w:t>甲方</w:t>
      </w:r>
      <w:r>
        <w:rPr>
          <w:rFonts w:hint="eastAsia" w:ascii="仿宋" w:hAnsi="仿宋" w:eastAsia="仿宋" w:cs="仿宋"/>
          <w:sz w:val="24"/>
          <w:szCs w:val="24"/>
          <w:lang w:val="zh-CN" w:bidi="zh-CN"/>
        </w:rPr>
        <w:t>就</w:t>
      </w:r>
      <w:r>
        <w:rPr>
          <w:rFonts w:hint="eastAsia" w:ascii="仿宋" w:hAnsi="仿宋" w:eastAsia="仿宋" w:cs="仿宋"/>
          <w:sz w:val="24"/>
          <w:szCs w:val="24"/>
          <w:u w:val="single"/>
          <w:lang w:bidi="zh-CN"/>
        </w:rPr>
        <w:t>儋州市光村、木棠、峨蔓一体化供水工程（三标段）超声波水表</w:t>
      </w:r>
      <w:r>
        <w:rPr>
          <w:rFonts w:hint="eastAsia" w:ascii="仿宋" w:hAnsi="仿宋" w:eastAsia="仿宋" w:cs="仿宋"/>
          <w:sz w:val="24"/>
          <w:szCs w:val="24"/>
          <w:lang w:bidi="zh-CN"/>
        </w:rPr>
        <w:t>采购</w:t>
      </w:r>
      <w:r>
        <w:rPr>
          <w:rFonts w:hint="eastAsia" w:ascii="仿宋" w:hAnsi="仿宋" w:eastAsia="仿宋" w:cs="仿宋"/>
          <w:sz w:val="24"/>
          <w:szCs w:val="24"/>
          <w:lang w:val="zh-CN" w:bidi="zh-CN"/>
        </w:rPr>
        <w:t>事宜，签订本合同，双方共同遵守。</w:t>
      </w:r>
    </w:p>
    <w:p w14:paraId="36BEC173">
      <w:pPr>
        <w:spacing w:line="480" w:lineRule="exact"/>
        <w:ind w:firstLine="480" w:firstLineChars="200"/>
        <w:rPr>
          <w:rFonts w:hint="eastAsia" w:ascii="仿宋" w:hAnsi="仿宋" w:eastAsia="仿宋" w:cs="仿宋"/>
          <w:sz w:val="24"/>
          <w:szCs w:val="24"/>
          <w:lang w:val="zh-CN" w:bidi="zh-CN"/>
        </w:rPr>
      </w:pPr>
      <w:r>
        <w:rPr>
          <w:rFonts w:hint="eastAsia" w:ascii="仿宋" w:hAnsi="仿宋" w:eastAsia="仿宋" w:cs="仿宋"/>
          <w:sz w:val="24"/>
          <w:szCs w:val="24"/>
          <w:lang w:val="zh-CN" w:bidi="zh-CN"/>
        </w:rPr>
        <w:t xml:space="preserve">1 </w:t>
      </w:r>
      <w:r>
        <w:rPr>
          <w:rFonts w:hint="eastAsia" w:ascii="仿宋" w:hAnsi="仿宋" w:eastAsia="仿宋" w:cs="仿宋"/>
          <w:b/>
          <w:bCs/>
          <w:sz w:val="24"/>
          <w:szCs w:val="24"/>
          <w:lang w:val="zh-CN" w:bidi="zh-CN"/>
        </w:rPr>
        <w:t xml:space="preserve"> 货物及数量</w:t>
      </w:r>
    </w:p>
    <w:p w14:paraId="06BA0E80">
      <w:pPr>
        <w:spacing w:line="480" w:lineRule="exact"/>
        <w:ind w:firstLine="480" w:firstLineChars="200"/>
        <w:rPr>
          <w:rFonts w:hint="eastAsia" w:ascii="仿宋" w:hAnsi="仿宋" w:eastAsia="仿宋" w:cs="仿宋"/>
          <w:sz w:val="24"/>
          <w:szCs w:val="24"/>
          <w:lang w:val="zh-CN" w:bidi="zh-CN"/>
        </w:rPr>
      </w:pPr>
      <w:r>
        <w:rPr>
          <w:rFonts w:hint="eastAsia" w:ascii="仿宋" w:hAnsi="仿宋" w:eastAsia="仿宋" w:cs="仿宋"/>
          <w:sz w:val="24"/>
          <w:szCs w:val="24"/>
          <w:lang w:val="zh-CN" w:bidi="zh-CN"/>
        </w:rPr>
        <w:t>1.1货物的名称、数量、规格、</w:t>
      </w:r>
      <w:r>
        <w:rPr>
          <w:rFonts w:hint="eastAsia" w:ascii="仿宋" w:hAnsi="仿宋" w:eastAsia="仿宋" w:cs="仿宋"/>
          <w:sz w:val="24"/>
          <w:szCs w:val="24"/>
          <w:lang w:bidi="zh-CN"/>
        </w:rPr>
        <w:t>单价</w:t>
      </w:r>
      <w:r>
        <w:rPr>
          <w:rFonts w:hint="eastAsia" w:ascii="仿宋" w:hAnsi="仿宋" w:eastAsia="仿宋" w:cs="仿宋"/>
          <w:sz w:val="24"/>
          <w:szCs w:val="24"/>
          <w:lang w:val="zh-CN" w:bidi="zh-CN"/>
        </w:rPr>
        <w:t>等详见下表。（</w:t>
      </w:r>
      <w:r>
        <w:rPr>
          <w:rFonts w:hint="eastAsia" w:ascii="仿宋" w:hAnsi="仿宋" w:eastAsia="仿宋" w:cs="仿宋"/>
          <w:sz w:val="24"/>
          <w:szCs w:val="24"/>
          <w:lang w:bidi="zh-CN"/>
        </w:rPr>
        <w:t>根据报价人实际成交标段填写</w:t>
      </w:r>
      <w:r>
        <w:rPr>
          <w:rFonts w:hint="eastAsia" w:ascii="仿宋" w:hAnsi="仿宋" w:eastAsia="仿宋" w:cs="仿宋"/>
          <w:sz w:val="24"/>
          <w:szCs w:val="24"/>
          <w:lang w:val="zh-CN" w:bidi="zh-CN"/>
        </w:rPr>
        <w:t>）</w:t>
      </w:r>
    </w:p>
    <w:tbl>
      <w:tblPr>
        <w:tblStyle w:val="21"/>
        <w:tblW w:w="8715" w:type="dxa"/>
        <w:jc w:val="center"/>
        <w:tblLayout w:type="fixed"/>
        <w:tblCellMar>
          <w:top w:w="0" w:type="dxa"/>
          <w:left w:w="108" w:type="dxa"/>
          <w:bottom w:w="0" w:type="dxa"/>
          <w:right w:w="108" w:type="dxa"/>
        </w:tblCellMar>
      </w:tblPr>
      <w:tblGrid>
        <w:gridCol w:w="466"/>
        <w:gridCol w:w="2370"/>
        <w:gridCol w:w="1191"/>
        <w:gridCol w:w="663"/>
        <w:gridCol w:w="911"/>
        <w:gridCol w:w="1263"/>
        <w:gridCol w:w="1096"/>
        <w:gridCol w:w="755"/>
      </w:tblGrid>
      <w:tr w14:paraId="789DF0A3">
        <w:tblPrEx>
          <w:tblCellMar>
            <w:top w:w="0" w:type="dxa"/>
            <w:left w:w="108" w:type="dxa"/>
            <w:bottom w:w="0" w:type="dxa"/>
            <w:right w:w="108" w:type="dxa"/>
          </w:tblCellMar>
        </w:tblPrEx>
        <w:trPr>
          <w:trHeight w:val="644" w:hRule="atLeast"/>
          <w:jc w:val="center"/>
        </w:trPr>
        <w:tc>
          <w:tcPr>
            <w:tcW w:w="466" w:type="dxa"/>
            <w:tcBorders>
              <w:top w:val="single" w:color="000000" w:sz="4" w:space="0"/>
              <w:left w:val="single" w:color="000000" w:sz="4" w:space="0"/>
              <w:bottom w:val="nil"/>
              <w:right w:val="single" w:color="000000" w:sz="4" w:space="0"/>
            </w:tcBorders>
            <w:vAlign w:val="center"/>
          </w:tcPr>
          <w:p w14:paraId="65A1C8C3">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序号</w:t>
            </w:r>
          </w:p>
        </w:tc>
        <w:tc>
          <w:tcPr>
            <w:tcW w:w="2370" w:type="dxa"/>
            <w:tcBorders>
              <w:top w:val="single" w:color="000000" w:sz="4" w:space="0"/>
              <w:left w:val="single" w:color="000000" w:sz="4" w:space="0"/>
              <w:bottom w:val="nil"/>
              <w:right w:val="single" w:color="auto" w:sz="4" w:space="0"/>
            </w:tcBorders>
            <w:vAlign w:val="center"/>
          </w:tcPr>
          <w:p w14:paraId="53A6FB21">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名称</w:t>
            </w:r>
          </w:p>
        </w:tc>
        <w:tc>
          <w:tcPr>
            <w:tcW w:w="1191" w:type="dxa"/>
            <w:tcBorders>
              <w:top w:val="single" w:color="000000" w:sz="4" w:space="0"/>
              <w:left w:val="single" w:color="000000" w:sz="4" w:space="0"/>
              <w:bottom w:val="nil"/>
              <w:right w:val="single" w:color="000000" w:sz="4" w:space="0"/>
            </w:tcBorders>
            <w:vAlign w:val="center"/>
          </w:tcPr>
          <w:p w14:paraId="7CC1C8BC">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规格型号</w:t>
            </w:r>
          </w:p>
        </w:tc>
        <w:tc>
          <w:tcPr>
            <w:tcW w:w="663" w:type="dxa"/>
            <w:tcBorders>
              <w:top w:val="single" w:color="000000" w:sz="4" w:space="0"/>
              <w:left w:val="single" w:color="000000" w:sz="4" w:space="0"/>
              <w:bottom w:val="nil"/>
              <w:right w:val="single" w:color="000000" w:sz="4" w:space="0"/>
            </w:tcBorders>
            <w:vAlign w:val="center"/>
          </w:tcPr>
          <w:p w14:paraId="4BDF78BD">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单位</w:t>
            </w:r>
          </w:p>
        </w:tc>
        <w:tc>
          <w:tcPr>
            <w:tcW w:w="911" w:type="dxa"/>
            <w:tcBorders>
              <w:top w:val="single" w:color="000000" w:sz="4" w:space="0"/>
              <w:left w:val="single" w:color="000000" w:sz="4" w:space="0"/>
              <w:bottom w:val="nil"/>
              <w:right w:val="single" w:color="000000" w:sz="4" w:space="0"/>
            </w:tcBorders>
            <w:vAlign w:val="center"/>
          </w:tcPr>
          <w:p w14:paraId="77F7CC36">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暂定</w:t>
            </w:r>
          </w:p>
          <w:p w14:paraId="40429FD4">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数量</w:t>
            </w:r>
          </w:p>
        </w:tc>
        <w:tc>
          <w:tcPr>
            <w:tcW w:w="1263" w:type="dxa"/>
            <w:tcBorders>
              <w:top w:val="single" w:color="000000" w:sz="4" w:space="0"/>
              <w:left w:val="single" w:color="000000" w:sz="4" w:space="0"/>
              <w:bottom w:val="single" w:color="000000" w:sz="4" w:space="0"/>
              <w:right w:val="single" w:color="000000" w:sz="4" w:space="0"/>
            </w:tcBorders>
            <w:vAlign w:val="center"/>
          </w:tcPr>
          <w:p w14:paraId="65B53431">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 xml:space="preserve">含税单价 </w:t>
            </w:r>
          </w:p>
        </w:tc>
        <w:tc>
          <w:tcPr>
            <w:tcW w:w="1096" w:type="dxa"/>
            <w:tcBorders>
              <w:top w:val="single" w:color="000000" w:sz="4" w:space="0"/>
              <w:left w:val="single" w:color="000000" w:sz="4" w:space="0"/>
              <w:bottom w:val="single" w:color="000000" w:sz="4" w:space="0"/>
              <w:right w:val="single" w:color="000000" w:sz="4" w:space="0"/>
            </w:tcBorders>
            <w:vAlign w:val="center"/>
          </w:tcPr>
          <w:p w14:paraId="23030C5A">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含税</w:t>
            </w:r>
          </w:p>
          <w:p w14:paraId="052B4AE5">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合价</w:t>
            </w:r>
          </w:p>
        </w:tc>
        <w:tc>
          <w:tcPr>
            <w:tcW w:w="755" w:type="dxa"/>
            <w:tcBorders>
              <w:top w:val="single" w:color="000000" w:sz="4" w:space="0"/>
              <w:left w:val="single" w:color="000000" w:sz="4" w:space="0"/>
              <w:bottom w:val="single" w:color="000000" w:sz="4" w:space="0"/>
              <w:right w:val="single" w:color="000000" w:sz="4" w:space="0"/>
            </w:tcBorders>
            <w:vAlign w:val="center"/>
          </w:tcPr>
          <w:p w14:paraId="610C9287">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lang w:bidi="ar"/>
              </w:rPr>
              <w:t>备注</w:t>
            </w:r>
          </w:p>
        </w:tc>
      </w:tr>
      <w:tr w14:paraId="1CE335B1">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038B3E01">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2370" w:type="dxa"/>
            <w:tcBorders>
              <w:top w:val="single" w:color="000000" w:sz="4" w:space="0"/>
              <w:left w:val="single" w:color="000000" w:sz="4" w:space="0"/>
              <w:bottom w:val="single" w:color="000000" w:sz="4" w:space="0"/>
              <w:right w:val="single" w:color="auto" w:sz="4" w:space="0"/>
            </w:tcBorders>
            <w:vAlign w:val="center"/>
          </w:tcPr>
          <w:p w14:paraId="4CC42E4A">
            <w:pPr>
              <w:widowControl/>
              <w:jc w:val="center"/>
              <w:textAlignment w:val="center"/>
              <w:rPr>
                <w:rFonts w:hint="eastAsia" w:ascii="仿宋" w:hAnsi="仿宋" w:eastAsia="仿宋" w:cs="仿宋"/>
                <w:kern w:val="0"/>
                <w:sz w:val="18"/>
                <w:szCs w:val="18"/>
                <w:lang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582EBF02">
            <w:pPr>
              <w:widowControl/>
              <w:jc w:val="center"/>
              <w:textAlignment w:val="center"/>
              <w:rPr>
                <w:rFonts w:hint="eastAsia" w:ascii="仿宋" w:hAnsi="仿宋" w:eastAsia="仿宋" w:cs="仿宋"/>
                <w:kern w:val="0"/>
                <w:sz w:val="18"/>
                <w:szCs w:val="18"/>
                <w:lang w:bidi="ar"/>
              </w:rPr>
            </w:pPr>
          </w:p>
        </w:tc>
        <w:tc>
          <w:tcPr>
            <w:tcW w:w="663" w:type="dxa"/>
            <w:tcBorders>
              <w:top w:val="single" w:color="000000" w:sz="4" w:space="0"/>
              <w:left w:val="single" w:color="000000" w:sz="4" w:space="0"/>
              <w:bottom w:val="single" w:color="000000" w:sz="4" w:space="0"/>
              <w:right w:val="single" w:color="000000" w:sz="4" w:space="0"/>
            </w:tcBorders>
            <w:vAlign w:val="center"/>
          </w:tcPr>
          <w:p w14:paraId="40EE155C">
            <w:pPr>
              <w:widowControl/>
              <w:jc w:val="center"/>
              <w:textAlignment w:val="center"/>
              <w:rPr>
                <w:rFonts w:hint="eastAsia" w:ascii="仿宋" w:hAnsi="仿宋" w:eastAsia="仿宋" w:cs="仿宋"/>
                <w:kern w:val="0"/>
                <w:szCs w:val="21"/>
                <w:lang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25E26250">
            <w:pPr>
              <w:widowControl/>
              <w:ind w:left="141" w:leftChars="17" w:right="-391" w:rightChars="-186" w:hanging="105" w:hangingChars="50"/>
              <w:jc w:val="center"/>
              <w:textAlignment w:val="center"/>
              <w:rPr>
                <w:rFonts w:hint="eastAsia" w:ascii="仿宋" w:hAnsi="仿宋" w:eastAsia="仿宋" w:cs="仿宋"/>
                <w:kern w:val="0"/>
                <w:szCs w:val="21"/>
                <w:lang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E315B3">
            <w:pPr>
              <w:widowControl/>
              <w:jc w:val="center"/>
              <w:textAlignment w:val="center"/>
              <w:rPr>
                <w:rFonts w:hint="eastAsia" w:ascii="仿宋" w:hAnsi="仿宋" w:eastAsia="仿宋" w:cs="仿宋"/>
                <w:kern w:val="0"/>
                <w:szCs w:val="21"/>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17019456">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0E434F29">
            <w:pPr>
              <w:widowControl/>
              <w:adjustRightInd w:val="0"/>
              <w:snapToGrid w:val="0"/>
              <w:jc w:val="center"/>
              <w:textAlignment w:val="center"/>
              <w:rPr>
                <w:rFonts w:hint="eastAsia" w:ascii="仿宋" w:hAnsi="仿宋" w:eastAsia="仿宋" w:cs="仿宋"/>
                <w:kern w:val="0"/>
                <w:szCs w:val="21"/>
              </w:rPr>
            </w:pPr>
          </w:p>
        </w:tc>
      </w:tr>
      <w:tr w14:paraId="0AEA533C">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0AA6375F">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2370" w:type="dxa"/>
            <w:tcBorders>
              <w:top w:val="single" w:color="000000" w:sz="4" w:space="0"/>
              <w:left w:val="single" w:color="000000" w:sz="4" w:space="0"/>
              <w:bottom w:val="single" w:color="000000" w:sz="4" w:space="0"/>
              <w:right w:val="single" w:color="auto" w:sz="4" w:space="0"/>
            </w:tcBorders>
            <w:vAlign w:val="center"/>
          </w:tcPr>
          <w:p w14:paraId="076C6E42">
            <w:pPr>
              <w:widowControl/>
              <w:jc w:val="center"/>
              <w:textAlignment w:val="center"/>
              <w:rPr>
                <w:rFonts w:hint="eastAsia" w:ascii="仿宋" w:hAnsi="仿宋" w:eastAsia="仿宋" w:cs="仿宋"/>
                <w:kern w:val="0"/>
                <w:sz w:val="18"/>
                <w:szCs w:val="18"/>
                <w:lang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2F9183E8">
            <w:pPr>
              <w:widowControl/>
              <w:jc w:val="center"/>
              <w:textAlignment w:val="center"/>
              <w:rPr>
                <w:rFonts w:hint="eastAsia" w:ascii="仿宋" w:hAnsi="仿宋" w:eastAsia="仿宋" w:cs="仿宋"/>
                <w:kern w:val="0"/>
                <w:sz w:val="18"/>
                <w:szCs w:val="18"/>
                <w:lang w:bidi="ar"/>
              </w:rPr>
            </w:pPr>
          </w:p>
        </w:tc>
        <w:tc>
          <w:tcPr>
            <w:tcW w:w="663" w:type="dxa"/>
            <w:tcBorders>
              <w:top w:val="single" w:color="000000" w:sz="4" w:space="0"/>
              <w:left w:val="single" w:color="000000" w:sz="4" w:space="0"/>
              <w:bottom w:val="single" w:color="000000" w:sz="4" w:space="0"/>
              <w:right w:val="single" w:color="000000" w:sz="4" w:space="0"/>
            </w:tcBorders>
            <w:vAlign w:val="center"/>
          </w:tcPr>
          <w:p w14:paraId="1D6CF654">
            <w:pPr>
              <w:widowControl/>
              <w:jc w:val="center"/>
              <w:textAlignment w:val="center"/>
              <w:rPr>
                <w:rFonts w:hint="eastAsia" w:ascii="仿宋" w:hAnsi="仿宋" w:eastAsia="仿宋" w:cs="仿宋"/>
                <w:kern w:val="0"/>
                <w:szCs w:val="21"/>
                <w:lang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57EEDF02">
            <w:pPr>
              <w:widowControl/>
              <w:ind w:left="141" w:leftChars="17" w:right="-391" w:rightChars="-186" w:hanging="105" w:hangingChars="50"/>
              <w:jc w:val="center"/>
              <w:textAlignment w:val="center"/>
              <w:rPr>
                <w:rFonts w:hint="eastAsia" w:ascii="仿宋" w:hAnsi="仿宋" w:eastAsia="仿宋" w:cs="仿宋"/>
                <w:kern w:val="0"/>
                <w:szCs w:val="21"/>
                <w:lang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185F380">
            <w:pPr>
              <w:widowControl/>
              <w:jc w:val="center"/>
              <w:textAlignment w:val="center"/>
              <w:rPr>
                <w:rFonts w:hint="eastAsia" w:ascii="仿宋" w:hAnsi="仿宋" w:eastAsia="仿宋" w:cs="仿宋"/>
                <w:kern w:val="0"/>
                <w:szCs w:val="21"/>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4877F1E7">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C37D088">
            <w:pPr>
              <w:widowControl/>
              <w:adjustRightInd w:val="0"/>
              <w:snapToGrid w:val="0"/>
              <w:jc w:val="center"/>
              <w:textAlignment w:val="center"/>
              <w:rPr>
                <w:rFonts w:hint="eastAsia" w:ascii="仿宋" w:hAnsi="仿宋" w:eastAsia="仿宋" w:cs="仿宋"/>
                <w:kern w:val="0"/>
                <w:szCs w:val="21"/>
              </w:rPr>
            </w:pPr>
          </w:p>
        </w:tc>
      </w:tr>
      <w:tr w14:paraId="3949417F">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1E914AFA">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4</w:t>
            </w:r>
          </w:p>
        </w:tc>
        <w:tc>
          <w:tcPr>
            <w:tcW w:w="2370" w:type="dxa"/>
            <w:tcBorders>
              <w:top w:val="single" w:color="000000" w:sz="4" w:space="0"/>
              <w:left w:val="single" w:color="000000" w:sz="4" w:space="0"/>
              <w:bottom w:val="single" w:color="000000" w:sz="4" w:space="0"/>
              <w:right w:val="single" w:color="auto" w:sz="4" w:space="0"/>
            </w:tcBorders>
            <w:vAlign w:val="center"/>
          </w:tcPr>
          <w:p w14:paraId="65ECE1D9">
            <w:pPr>
              <w:widowControl/>
              <w:jc w:val="center"/>
              <w:textAlignment w:val="center"/>
              <w:rPr>
                <w:rFonts w:hint="eastAsia" w:ascii="仿宋" w:hAnsi="仿宋" w:eastAsia="仿宋" w:cs="仿宋"/>
                <w:kern w:val="0"/>
                <w:sz w:val="18"/>
                <w:szCs w:val="18"/>
                <w:lang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78ECF69A">
            <w:pPr>
              <w:widowControl/>
              <w:jc w:val="center"/>
              <w:textAlignment w:val="center"/>
              <w:rPr>
                <w:rFonts w:hint="eastAsia" w:ascii="仿宋" w:hAnsi="仿宋" w:eastAsia="仿宋" w:cs="仿宋"/>
                <w:kern w:val="0"/>
                <w:sz w:val="18"/>
                <w:szCs w:val="18"/>
                <w:lang w:bidi="ar"/>
              </w:rPr>
            </w:pPr>
          </w:p>
        </w:tc>
        <w:tc>
          <w:tcPr>
            <w:tcW w:w="663" w:type="dxa"/>
            <w:tcBorders>
              <w:top w:val="single" w:color="000000" w:sz="4" w:space="0"/>
              <w:left w:val="single" w:color="000000" w:sz="4" w:space="0"/>
              <w:bottom w:val="single" w:color="000000" w:sz="4" w:space="0"/>
              <w:right w:val="single" w:color="000000" w:sz="4" w:space="0"/>
            </w:tcBorders>
            <w:vAlign w:val="center"/>
          </w:tcPr>
          <w:p w14:paraId="71BF4F4F">
            <w:pPr>
              <w:widowControl/>
              <w:jc w:val="center"/>
              <w:textAlignment w:val="center"/>
              <w:rPr>
                <w:rFonts w:hint="eastAsia" w:ascii="仿宋" w:hAnsi="仿宋" w:eastAsia="仿宋" w:cs="仿宋"/>
                <w:kern w:val="0"/>
                <w:szCs w:val="21"/>
                <w:lang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916B34E">
            <w:pPr>
              <w:widowControl/>
              <w:ind w:left="141" w:leftChars="17" w:right="-391" w:rightChars="-186" w:hanging="105" w:hangingChars="50"/>
              <w:jc w:val="center"/>
              <w:textAlignment w:val="center"/>
              <w:rPr>
                <w:rFonts w:hint="eastAsia" w:ascii="仿宋" w:hAnsi="仿宋" w:eastAsia="仿宋" w:cs="仿宋"/>
                <w:kern w:val="0"/>
                <w:szCs w:val="21"/>
                <w:lang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2CD537A">
            <w:pPr>
              <w:widowControl/>
              <w:jc w:val="center"/>
              <w:textAlignment w:val="center"/>
              <w:rPr>
                <w:rFonts w:hint="eastAsia" w:ascii="仿宋" w:hAnsi="仿宋" w:eastAsia="仿宋" w:cs="仿宋"/>
                <w:kern w:val="0"/>
                <w:szCs w:val="21"/>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5C1F0B04">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313DBF3">
            <w:pPr>
              <w:widowControl/>
              <w:adjustRightInd w:val="0"/>
              <w:snapToGrid w:val="0"/>
              <w:jc w:val="center"/>
              <w:textAlignment w:val="center"/>
              <w:rPr>
                <w:rFonts w:hint="eastAsia" w:ascii="仿宋" w:hAnsi="仿宋" w:eastAsia="仿宋" w:cs="仿宋"/>
                <w:kern w:val="0"/>
                <w:szCs w:val="21"/>
              </w:rPr>
            </w:pPr>
          </w:p>
        </w:tc>
      </w:tr>
      <w:tr w14:paraId="4B947A27">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5433CB94">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6</w:t>
            </w:r>
          </w:p>
        </w:tc>
        <w:tc>
          <w:tcPr>
            <w:tcW w:w="2370" w:type="dxa"/>
            <w:tcBorders>
              <w:top w:val="single" w:color="000000" w:sz="4" w:space="0"/>
              <w:left w:val="single" w:color="000000" w:sz="4" w:space="0"/>
              <w:bottom w:val="single" w:color="000000" w:sz="4" w:space="0"/>
              <w:right w:val="single" w:color="auto" w:sz="4" w:space="0"/>
            </w:tcBorders>
            <w:vAlign w:val="center"/>
          </w:tcPr>
          <w:p w14:paraId="2B3AF16E">
            <w:pPr>
              <w:widowControl/>
              <w:jc w:val="center"/>
              <w:textAlignment w:val="center"/>
              <w:rPr>
                <w:rFonts w:hint="eastAsia" w:ascii="仿宋" w:hAnsi="仿宋" w:eastAsia="仿宋" w:cs="仿宋"/>
                <w:kern w:val="0"/>
                <w:sz w:val="18"/>
                <w:szCs w:val="18"/>
                <w:lang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66C8393B">
            <w:pPr>
              <w:widowControl/>
              <w:jc w:val="center"/>
              <w:textAlignment w:val="center"/>
              <w:rPr>
                <w:rFonts w:hint="eastAsia" w:ascii="仿宋" w:hAnsi="仿宋" w:eastAsia="仿宋" w:cs="仿宋"/>
                <w:kern w:val="0"/>
                <w:sz w:val="18"/>
                <w:szCs w:val="18"/>
                <w:lang w:bidi="ar"/>
              </w:rPr>
            </w:pPr>
          </w:p>
        </w:tc>
        <w:tc>
          <w:tcPr>
            <w:tcW w:w="663" w:type="dxa"/>
            <w:tcBorders>
              <w:top w:val="single" w:color="000000" w:sz="4" w:space="0"/>
              <w:left w:val="single" w:color="000000" w:sz="4" w:space="0"/>
              <w:bottom w:val="single" w:color="000000" w:sz="4" w:space="0"/>
              <w:right w:val="single" w:color="000000" w:sz="4" w:space="0"/>
            </w:tcBorders>
            <w:vAlign w:val="center"/>
          </w:tcPr>
          <w:p w14:paraId="6A401D2D">
            <w:pPr>
              <w:widowControl/>
              <w:jc w:val="center"/>
              <w:textAlignment w:val="center"/>
              <w:rPr>
                <w:rFonts w:hint="eastAsia" w:ascii="仿宋" w:hAnsi="仿宋" w:eastAsia="仿宋" w:cs="仿宋"/>
                <w:kern w:val="0"/>
                <w:szCs w:val="21"/>
                <w:lang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7FD540E3">
            <w:pPr>
              <w:widowControl/>
              <w:ind w:left="141" w:leftChars="17" w:right="-391" w:rightChars="-186" w:hanging="105" w:hangingChars="50"/>
              <w:jc w:val="center"/>
              <w:textAlignment w:val="center"/>
              <w:rPr>
                <w:rFonts w:hint="eastAsia" w:ascii="仿宋" w:hAnsi="仿宋" w:eastAsia="仿宋" w:cs="仿宋"/>
                <w:kern w:val="0"/>
                <w:szCs w:val="21"/>
                <w:lang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ADC05AC">
            <w:pPr>
              <w:widowControl/>
              <w:jc w:val="center"/>
              <w:textAlignment w:val="center"/>
              <w:rPr>
                <w:rFonts w:hint="eastAsia" w:ascii="仿宋" w:hAnsi="仿宋" w:eastAsia="仿宋" w:cs="仿宋"/>
                <w:kern w:val="0"/>
                <w:szCs w:val="21"/>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359B3E4">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170490E9">
            <w:pPr>
              <w:widowControl/>
              <w:adjustRightInd w:val="0"/>
              <w:snapToGrid w:val="0"/>
              <w:jc w:val="center"/>
              <w:textAlignment w:val="center"/>
              <w:rPr>
                <w:rFonts w:hint="eastAsia" w:ascii="仿宋" w:hAnsi="仿宋" w:eastAsia="仿宋" w:cs="仿宋"/>
                <w:kern w:val="0"/>
                <w:szCs w:val="21"/>
              </w:rPr>
            </w:pPr>
          </w:p>
        </w:tc>
      </w:tr>
      <w:tr w14:paraId="65EBF67E">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10676F12">
            <w:pPr>
              <w:widowControl/>
              <w:jc w:val="center"/>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8</w:t>
            </w:r>
          </w:p>
        </w:tc>
        <w:tc>
          <w:tcPr>
            <w:tcW w:w="2370" w:type="dxa"/>
            <w:tcBorders>
              <w:top w:val="single" w:color="000000" w:sz="4" w:space="0"/>
              <w:left w:val="single" w:color="000000" w:sz="4" w:space="0"/>
              <w:bottom w:val="single" w:color="000000" w:sz="4" w:space="0"/>
              <w:right w:val="single" w:color="auto" w:sz="4" w:space="0"/>
            </w:tcBorders>
            <w:vAlign w:val="center"/>
          </w:tcPr>
          <w:p w14:paraId="3A0DE4AF">
            <w:pPr>
              <w:widowControl/>
              <w:jc w:val="center"/>
              <w:textAlignment w:val="center"/>
              <w:rPr>
                <w:rFonts w:hint="eastAsia" w:ascii="仿宋" w:hAnsi="仿宋" w:eastAsia="仿宋" w:cs="仿宋"/>
                <w:kern w:val="0"/>
                <w:sz w:val="18"/>
                <w:szCs w:val="18"/>
                <w:lang w:bidi="ar"/>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B680568">
            <w:pPr>
              <w:widowControl/>
              <w:jc w:val="center"/>
              <w:textAlignment w:val="center"/>
              <w:rPr>
                <w:rFonts w:hint="eastAsia" w:ascii="仿宋" w:hAnsi="仿宋" w:eastAsia="仿宋" w:cs="仿宋"/>
                <w:kern w:val="0"/>
                <w:sz w:val="18"/>
                <w:szCs w:val="18"/>
                <w:lang w:bidi="ar"/>
              </w:rPr>
            </w:pPr>
          </w:p>
        </w:tc>
        <w:tc>
          <w:tcPr>
            <w:tcW w:w="663" w:type="dxa"/>
            <w:tcBorders>
              <w:top w:val="single" w:color="000000" w:sz="4" w:space="0"/>
              <w:left w:val="single" w:color="000000" w:sz="4" w:space="0"/>
              <w:bottom w:val="single" w:color="000000" w:sz="4" w:space="0"/>
              <w:right w:val="single" w:color="000000" w:sz="4" w:space="0"/>
            </w:tcBorders>
            <w:vAlign w:val="center"/>
          </w:tcPr>
          <w:p w14:paraId="25064A02">
            <w:pPr>
              <w:widowControl/>
              <w:jc w:val="center"/>
              <w:textAlignment w:val="center"/>
              <w:rPr>
                <w:rFonts w:hint="eastAsia" w:ascii="仿宋" w:hAnsi="仿宋" w:eastAsia="仿宋" w:cs="仿宋"/>
                <w:kern w:val="0"/>
                <w:szCs w:val="21"/>
                <w:lang w:bidi="ar"/>
              </w:rPr>
            </w:pPr>
          </w:p>
        </w:tc>
        <w:tc>
          <w:tcPr>
            <w:tcW w:w="911" w:type="dxa"/>
            <w:tcBorders>
              <w:top w:val="single" w:color="000000" w:sz="4" w:space="0"/>
              <w:left w:val="single" w:color="000000" w:sz="4" w:space="0"/>
              <w:bottom w:val="single" w:color="000000" w:sz="4" w:space="0"/>
              <w:right w:val="single" w:color="000000" w:sz="4" w:space="0"/>
            </w:tcBorders>
            <w:noWrap/>
            <w:vAlign w:val="center"/>
          </w:tcPr>
          <w:p w14:paraId="4E3D2D53">
            <w:pPr>
              <w:widowControl/>
              <w:ind w:left="141" w:leftChars="17" w:right="-391" w:rightChars="-186" w:hanging="105" w:hangingChars="50"/>
              <w:jc w:val="center"/>
              <w:textAlignment w:val="center"/>
              <w:rPr>
                <w:rFonts w:hint="eastAsia" w:ascii="仿宋" w:hAnsi="仿宋" w:eastAsia="仿宋" w:cs="仿宋"/>
                <w:kern w:val="0"/>
                <w:szCs w:val="21"/>
                <w:lang w:bidi="ar"/>
              </w:rPr>
            </w:pP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490617B">
            <w:pPr>
              <w:widowControl/>
              <w:jc w:val="center"/>
              <w:textAlignment w:val="center"/>
              <w:rPr>
                <w:rFonts w:hint="eastAsia" w:ascii="仿宋" w:hAnsi="仿宋" w:eastAsia="仿宋" w:cs="仿宋"/>
                <w:kern w:val="0"/>
                <w:szCs w:val="21"/>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7BB469C">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55080E2F">
            <w:pPr>
              <w:widowControl/>
              <w:adjustRightInd w:val="0"/>
              <w:snapToGrid w:val="0"/>
              <w:jc w:val="center"/>
              <w:textAlignment w:val="center"/>
              <w:rPr>
                <w:rFonts w:hint="eastAsia" w:ascii="仿宋" w:hAnsi="仿宋" w:eastAsia="仿宋" w:cs="仿宋"/>
                <w:kern w:val="0"/>
                <w:szCs w:val="21"/>
              </w:rPr>
            </w:pPr>
          </w:p>
        </w:tc>
      </w:tr>
      <w:tr w14:paraId="4B090E39">
        <w:tblPrEx>
          <w:tblCellMar>
            <w:top w:w="0" w:type="dxa"/>
            <w:left w:w="108" w:type="dxa"/>
            <w:bottom w:w="0" w:type="dxa"/>
            <w:right w:w="108" w:type="dxa"/>
          </w:tblCellMar>
        </w:tblPrEx>
        <w:trPr>
          <w:trHeight w:val="507"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14:paraId="5DD4AB93">
            <w:pPr>
              <w:widowControl/>
              <w:jc w:val="center"/>
              <w:textAlignment w:val="center"/>
              <w:rPr>
                <w:rFonts w:hint="eastAsia" w:ascii="仿宋" w:hAnsi="仿宋" w:eastAsia="仿宋" w:cs="仿宋"/>
                <w:kern w:val="0"/>
                <w:szCs w:val="21"/>
                <w:lang w:bidi="ar"/>
              </w:rPr>
            </w:pPr>
          </w:p>
        </w:tc>
        <w:tc>
          <w:tcPr>
            <w:tcW w:w="5135" w:type="dxa"/>
            <w:gridSpan w:val="4"/>
            <w:tcBorders>
              <w:top w:val="single" w:color="000000" w:sz="4" w:space="0"/>
              <w:left w:val="single" w:color="000000" w:sz="4" w:space="0"/>
              <w:bottom w:val="single" w:color="000000" w:sz="4" w:space="0"/>
              <w:right w:val="single" w:color="000000" w:sz="4" w:space="0"/>
            </w:tcBorders>
            <w:vAlign w:val="center"/>
          </w:tcPr>
          <w:p w14:paraId="14C7CDA7">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合计</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CD7242">
            <w:pPr>
              <w:widowControl/>
              <w:jc w:val="center"/>
              <w:textAlignment w:val="center"/>
              <w:rPr>
                <w:rFonts w:hint="eastAsia" w:ascii="仿宋" w:hAnsi="仿宋" w:eastAsia="仿宋" w:cs="仿宋"/>
                <w:kern w:val="0"/>
                <w:szCs w:val="21"/>
                <w:lang w:bidi="ar"/>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038BD372">
            <w:pPr>
              <w:widowControl/>
              <w:jc w:val="center"/>
              <w:textAlignment w:val="center"/>
              <w:rPr>
                <w:rFonts w:hint="eastAsia" w:ascii="仿宋" w:hAnsi="仿宋" w:eastAsia="仿宋" w:cs="仿宋"/>
                <w:kern w:val="0"/>
                <w:szCs w:val="21"/>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3BD10F25">
            <w:pPr>
              <w:widowControl/>
              <w:adjustRightInd w:val="0"/>
              <w:snapToGrid w:val="0"/>
              <w:jc w:val="center"/>
              <w:textAlignment w:val="center"/>
              <w:rPr>
                <w:rFonts w:hint="eastAsia" w:ascii="仿宋" w:hAnsi="仿宋" w:eastAsia="仿宋" w:cs="仿宋"/>
                <w:kern w:val="0"/>
                <w:szCs w:val="21"/>
              </w:rPr>
            </w:pPr>
          </w:p>
        </w:tc>
      </w:tr>
      <w:tr w14:paraId="42B41A9C">
        <w:tblPrEx>
          <w:tblCellMar>
            <w:top w:w="0" w:type="dxa"/>
            <w:left w:w="108" w:type="dxa"/>
            <w:bottom w:w="0" w:type="dxa"/>
            <w:right w:w="108" w:type="dxa"/>
          </w:tblCellMar>
        </w:tblPrEx>
        <w:trPr>
          <w:trHeight w:val="517" w:hRule="atLeast"/>
          <w:jc w:val="center"/>
        </w:trPr>
        <w:tc>
          <w:tcPr>
            <w:tcW w:w="5601" w:type="dxa"/>
            <w:gridSpan w:val="5"/>
            <w:tcBorders>
              <w:top w:val="single" w:color="000000" w:sz="4" w:space="0"/>
              <w:left w:val="single" w:color="000000" w:sz="4" w:space="0"/>
              <w:bottom w:val="single" w:color="000000" w:sz="4" w:space="0"/>
              <w:right w:val="single" w:color="000000" w:sz="4" w:space="0"/>
            </w:tcBorders>
            <w:vAlign w:val="center"/>
          </w:tcPr>
          <w:p w14:paraId="71A636E6">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提供增值税专用发票税率</w:t>
            </w:r>
          </w:p>
        </w:tc>
        <w:tc>
          <w:tcPr>
            <w:tcW w:w="3114" w:type="dxa"/>
            <w:gridSpan w:val="3"/>
            <w:tcBorders>
              <w:top w:val="single" w:color="000000" w:sz="4" w:space="0"/>
              <w:left w:val="single" w:color="000000" w:sz="4" w:space="0"/>
              <w:bottom w:val="single" w:color="000000" w:sz="4" w:space="0"/>
              <w:right w:val="single" w:color="000000" w:sz="4" w:space="0"/>
            </w:tcBorders>
            <w:noWrap/>
            <w:vAlign w:val="center"/>
          </w:tcPr>
          <w:p w14:paraId="11978B3D">
            <w:pPr>
              <w:widowControl/>
              <w:adjustRightInd w:val="0"/>
              <w:snapToGrid w:val="0"/>
              <w:jc w:val="center"/>
              <w:textAlignment w:val="center"/>
              <w:rPr>
                <w:rFonts w:hint="eastAsia" w:ascii="仿宋" w:hAnsi="仿宋" w:eastAsia="仿宋" w:cs="仿宋"/>
                <w:szCs w:val="21"/>
              </w:rPr>
            </w:pPr>
            <w:r>
              <w:rPr>
                <w:rFonts w:hint="eastAsia" w:ascii="仿宋" w:hAnsi="仿宋" w:eastAsia="仿宋" w:cs="仿宋"/>
                <w:szCs w:val="21"/>
              </w:rPr>
              <w:t>13%</w:t>
            </w:r>
          </w:p>
        </w:tc>
      </w:tr>
    </w:tbl>
    <w:p w14:paraId="6876884C">
      <w:pPr>
        <w:spacing w:line="480" w:lineRule="exact"/>
        <w:rPr>
          <w:rFonts w:hint="eastAsia" w:ascii="仿宋" w:hAnsi="仿宋" w:eastAsia="仿宋" w:cs="仿宋"/>
          <w:sz w:val="24"/>
        </w:rPr>
      </w:pPr>
      <w:r>
        <w:rPr>
          <w:rFonts w:hint="eastAsia" w:ascii="仿宋" w:hAnsi="仿宋" w:eastAsia="仿宋" w:cs="仿宋"/>
          <w:sz w:val="24"/>
        </w:rPr>
        <w:t>1.2以上数量为暂估数量，暂定总价款（含税）为：</w:t>
      </w:r>
      <w:r>
        <w:rPr>
          <w:rFonts w:hint="eastAsia" w:ascii="仿宋" w:hAnsi="仿宋" w:eastAsia="仿宋" w:cs="仿宋"/>
          <w:sz w:val="24"/>
          <w:u w:val="single"/>
        </w:rPr>
        <w:t xml:space="preserve">       </w:t>
      </w:r>
      <w:r>
        <w:rPr>
          <w:rFonts w:hint="eastAsia" w:ascii="仿宋" w:hAnsi="仿宋" w:eastAsia="仿宋" w:cs="仿宋"/>
          <w:sz w:val="24"/>
        </w:rPr>
        <w:t>元，金额大写：</w:t>
      </w:r>
      <w:r>
        <w:rPr>
          <w:rFonts w:hint="eastAsia" w:ascii="仿宋" w:hAnsi="仿宋" w:eastAsia="仿宋" w:cs="仿宋"/>
          <w:sz w:val="24"/>
          <w:u w:val="single"/>
        </w:rPr>
        <w:t xml:space="preserve">                 </w:t>
      </w:r>
      <w:r>
        <w:rPr>
          <w:rFonts w:hint="eastAsia" w:ascii="仿宋" w:hAnsi="仿宋" w:eastAsia="仿宋" w:cs="仿宋"/>
          <w:sz w:val="24"/>
        </w:rPr>
        <w:t>；其中税率为：</w:t>
      </w:r>
      <w:r>
        <w:rPr>
          <w:rFonts w:hint="eastAsia" w:ascii="仿宋" w:hAnsi="仿宋" w:eastAsia="仿宋" w:cs="仿宋"/>
          <w:sz w:val="24"/>
          <w:u w:val="single"/>
        </w:rPr>
        <w:t>13%</w:t>
      </w:r>
      <w:r>
        <w:rPr>
          <w:rFonts w:hint="eastAsia" w:ascii="仿宋" w:hAnsi="仿宋" w:eastAsia="仿宋" w:cs="仿宋"/>
          <w:sz w:val="24"/>
        </w:rPr>
        <w:t>。供货数量、时间和地点以甲方书面计划为准，结算数量为甲方实收合格数量，甲方有权对合同中的数量和交货时间做调整，乙方</w:t>
      </w:r>
      <w:r>
        <w:rPr>
          <w:rFonts w:hint="eastAsia" w:ascii="仿宋" w:hAnsi="仿宋" w:eastAsia="仿宋" w:cs="仿宋"/>
          <w:sz w:val="24"/>
          <w:szCs w:val="24"/>
        </w:rPr>
        <w:t>应予无条件配合。因货物数量调整</w:t>
      </w:r>
      <w:r>
        <w:rPr>
          <w:rFonts w:hint="eastAsia" w:ascii="仿宋" w:hAnsi="仿宋" w:eastAsia="仿宋" w:cs="仿宋"/>
          <w:sz w:val="24"/>
        </w:rPr>
        <w:t>，当乙方实际供货量未达以上暂估数量时，乙方不得以供货数量不足作为索赔的理由。</w:t>
      </w:r>
    </w:p>
    <w:p w14:paraId="23E2EE2B">
      <w:pPr>
        <w:spacing w:line="480" w:lineRule="exact"/>
        <w:rPr>
          <w:rFonts w:hint="eastAsia" w:ascii="仿宋" w:hAnsi="仿宋" w:eastAsia="仿宋" w:cs="仿宋"/>
          <w:sz w:val="24"/>
          <w:lang w:val="zh-CN"/>
        </w:rPr>
      </w:pPr>
      <w:r>
        <w:rPr>
          <w:rFonts w:hint="eastAsia" w:ascii="仿宋" w:hAnsi="仿宋" w:eastAsia="仿宋" w:cs="仿宋"/>
          <w:sz w:val="24"/>
          <w:szCs w:val="24"/>
          <w:lang w:val="zh-CN" w:bidi="zh-CN"/>
        </w:rPr>
        <w:t>1.3合同结算单价、合同暂估总金额以及最终结算总价都已包括货物价款、供应商出售该物资应缴纳税金及一切税费、包装费、保险费、运输费、装卸车费以及其他运抵至甲方指定交货地点的一切费用；包括货物被允许用于工程前所需进行的试验、检验费用、售后服务以及市场价格涨幅等的各类风险费用；以及其他所有相关服务费用。需要经安装、测试、调试才能满足本合同质量标准、技术标准要求的，本清单列明的单价、总价均已包括了安装、测试、调试直至满足其质量</w:t>
      </w:r>
      <w:r>
        <w:rPr>
          <w:rFonts w:hint="eastAsia" w:ascii="仿宋" w:hAnsi="仿宋" w:eastAsia="仿宋" w:cs="仿宋"/>
          <w:sz w:val="24"/>
          <w:lang w:val="zh-CN"/>
        </w:rPr>
        <w:t>标准、技术标准要求所需的一切工作内容及其费用支出。合同履行期间综合单价不作调整。</w:t>
      </w:r>
    </w:p>
    <w:p w14:paraId="6AB6EB54">
      <w:pPr>
        <w:spacing w:line="480" w:lineRule="exact"/>
        <w:rPr>
          <w:rFonts w:hint="eastAsia" w:eastAsia="仿宋" w:cs="仿宋"/>
          <w:sz w:val="24"/>
          <w:szCs w:val="24"/>
        </w:rPr>
      </w:pPr>
      <w:r>
        <w:rPr>
          <w:rFonts w:hint="eastAsia" w:ascii="仿宋" w:hAnsi="仿宋" w:eastAsia="仿宋" w:cs="仿宋"/>
          <w:sz w:val="24"/>
          <w:lang w:val="zh-CN" w:eastAsia="zh-CN"/>
        </w:rPr>
        <w:t>1.4</w:t>
      </w:r>
      <w:r>
        <w:rPr>
          <w:rFonts w:hint="eastAsia" w:ascii="仿宋" w:hAnsi="仿宋" w:eastAsia="仿宋" w:cs="仿宋"/>
          <w:sz w:val="24"/>
        </w:rPr>
        <w:t>甲方收取本合同含税总价款</w:t>
      </w:r>
      <w:r>
        <w:rPr>
          <w:rFonts w:hint="eastAsia" w:eastAsia="仿宋" w:cs="仿宋"/>
          <w:sz w:val="24"/>
          <w:szCs w:val="24"/>
        </w:rPr>
        <w:t xml:space="preserve"> </w:t>
      </w:r>
      <w:r>
        <w:rPr>
          <w:rFonts w:hint="eastAsia" w:eastAsia="仿宋" w:cs="仿宋"/>
          <w:sz w:val="24"/>
          <w:szCs w:val="24"/>
          <w:lang w:val="en-US" w:eastAsia="zh-CN"/>
        </w:rPr>
        <w:t>2</w:t>
      </w:r>
      <w:r>
        <w:rPr>
          <w:rFonts w:hint="eastAsia" w:eastAsia="仿宋" w:cs="仿宋"/>
          <w:sz w:val="24"/>
          <w:szCs w:val="24"/>
        </w:rPr>
        <w:t xml:space="preserve"> %，</w:t>
      </w:r>
      <w:r>
        <w:rPr>
          <w:rFonts w:hint="eastAsia" w:eastAsia="仿宋" w:cs="仿宋"/>
          <w:bCs w:val="0"/>
          <w:kern w:val="0"/>
          <w:sz w:val="24"/>
          <w:szCs w:val="22"/>
        </w:rPr>
        <w:t>即</w:t>
      </w:r>
      <w:r>
        <w:rPr>
          <w:rFonts w:hint="eastAsia" w:eastAsia="仿宋" w:cs="仿宋"/>
          <w:bCs w:val="0"/>
          <w:kern w:val="0"/>
          <w:sz w:val="24"/>
          <w:szCs w:val="22"/>
          <w:u w:val="single"/>
        </w:rPr>
        <w:t xml:space="preserve">       </w:t>
      </w:r>
      <w:r>
        <w:rPr>
          <w:rFonts w:hint="eastAsia" w:eastAsia="仿宋" w:cs="仿宋"/>
          <w:bCs w:val="0"/>
          <w:kern w:val="0"/>
          <w:sz w:val="24"/>
          <w:szCs w:val="22"/>
        </w:rPr>
        <w:t>元（大写：</w:t>
      </w:r>
      <w:r>
        <w:rPr>
          <w:rFonts w:hint="eastAsia" w:eastAsia="仿宋" w:cs="仿宋"/>
          <w:bCs w:val="0"/>
          <w:kern w:val="0"/>
          <w:sz w:val="24"/>
          <w:szCs w:val="22"/>
          <w:u w:val="single"/>
        </w:rPr>
        <w:t xml:space="preserve">         </w:t>
      </w:r>
      <w:r>
        <w:rPr>
          <w:rFonts w:hint="eastAsia" w:eastAsia="仿宋" w:cs="仿宋"/>
          <w:bCs w:val="0"/>
          <w:kern w:val="0"/>
          <w:sz w:val="24"/>
          <w:szCs w:val="22"/>
        </w:rPr>
        <w:t>作为合同履约保证金，</w:t>
      </w:r>
      <w:r>
        <w:rPr>
          <w:rFonts w:hint="eastAsia" w:eastAsia="仿宋" w:cs="仿宋"/>
          <w:bCs w:val="0"/>
          <w:kern w:val="0"/>
          <w:sz w:val="24"/>
          <w:szCs w:val="22"/>
          <w:lang w:val="en-US" w:eastAsia="zh-CN"/>
        </w:rPr>
        <w:t>成交</w:t>
      </w:r>
      <w:r>
        <w:rPr>
          <w:rFonts w:hint="eastAsia" w:eastAsia="仿宋" w:cs="仿宋"/>
          <w:bCs w:val="0"/>
          <w:kern w:val="0"/>
          <w:sz w:val="24"/>
          <w:szCs w:val="22"/>
        </w:rPr>
        <w:t>通知书发出之后7个日历天内，以银行转账或银行保函</w:t>
      </w:r>
      <w:r>
        <w:rPr>
          <w:rFonts w:hint="eastAsia" w:eastAsia="仿宋" w:cs="仿宋"/>
          <w:sz w:val="24"/>
          <w:szCs w:val="24"/>
        </w:rPr>
        <w:t>（限定出具保函的机构为全国性股份制银行、海南区域股份制银行，可线上验真，保函性质为见索即付，争议解决地在海南洋浦陆海能源发展有限公司所在地，保函有效期间要覆盖至项目供应完毕且验收完毕）</w:t>
      </w:r>
      <w:r>
        <w:rPr>
          <w:rFonts w:hint="eastAsia" w:eastAsia="仿宋" w:cs="仿宋"/>
          <w:kern w:val="0"/>
          <w:sz w:val="24"/>
          <w:szCs w:val="22"/>
        </w:rPr>
        <w:t>，作为乙方诚信、全面、正确履行全部合同义务的保证，如发生违约扣款情况，甲方就收取的履约保证金在乙方供货完毕且办理完总结算签字确认后30个工作日内，扣除违约金无息返还；如有其他情况，双方协商确定返还时间。</w:t>
      </w:r>
    </w:p>
    <w:p w14:paraId="24A553CB">
      <w:pPr>
        <w:numPr>
          <w:ilvl w:val="0"/>
          <w:numId w:val="2"/>
        </w:numPr>
        <w:spacing w:line="520" w:lineRule="exact"/>
        <w:rPr>
          <w:rFonts w:hint="eastAsia" w:ascii="仿宋" w:hAnsi="仿宋" w:eastAsia="仿宋" w:cs="仿宋"/>
          <w:b/>
          <w:sz w:val="24"/>
        </w:rPr>
      </w:pPr>
      <w:r>
        <w:rPr>
          <w:rFonts w:hint="eastAsia" w:ascii="仿宋" w:hAnsi="仿宋" w:eastAsia="仿宋" w:cs="仿宋"/>
          <w:b/>
          <w:sz w:val="24"/>
        </w:rPr>
        <w:t>技术质量要求</w:t>
      </w:r>
    </w:p>
    <w:p w14:paraId="53F7CAB8">
      <w:pPr>
        <w:spacing w:line="520" w:lineRule="exact"/>
        <w:rPr>
          <w:rFonts w:hint="eastAsia" w:ascii="仿宋" w:hAnsi="仿宋" w:eastAsia="仿宋" w:cs="仿宋"/>
          <w:sz w:val="24"/>
        </w:rPr>
      </w:pPr>
      <w:r>
        <w:rPr>
          <w:rFonts w:hint="eastAsia" w:ascii="仿宋" w:hAnsi="仿宋" w:eastAsia="仿宋" w:cs="仿宋"/>
          <w:sz w:val="24"/>
        </w:rPr>
        <w:t>2.1技术要求</w:t>
      </w:r>
      <w:r>
        <w:rPr>
          <w:rFonts w:hint="eastAsia" w:ascii="仿宋" w:hAnsi="仿宋" w:eastAsia="仿宋" w:cs="仿宋"/>
          <w:kern w:val="0"/>
          <w:sz w:val="24"/>
        </w:rPr>
        <w:t>：</w:t>
      </w:r>
      <w:r>
        <w:rPr>
          <w:rFonts w:hint="eastAsia" w:ascii="仿宋" w:hAnsi="仿宋" w:eastAsia="仿宋" w:cs="仿宋"/>
          <w:sz w:val="24"/>
        </w:rPr>
        <w:t>具体技术标准和功能要求详见附件二《超声波水表技术标准和功能要求》。</w:t>
      </w:r>
    </w:p>
    <w:p w14:paraId="2EAE1B3A">
      <w:pPr>
        <w:spacing w:line="360" w:lineRule="auto"/>
        <w:rPr>
          <w:rFonts w:hint="eastAsia" w:ascii="仿宋" w:hAnsi="仿宋" w:eastAsia="仿宋" w:cs="仿宋"/>
          <w:sz w:val="28"/>
          <w:szCs w:val="28"/>
        </w:rPr>
      </w:pPr>
      <w:r>
        <w:rPr>
          <w:rFonts w:hint="eastAsia" w:ascii="仿宋" w:hAnsi="仿宋" w:eastAsia="仿宋" w:cs="仿宋"/>
          <w:sz w:val="24"/>
        </w:rPr>
        <w:t>2.2质量基本条件：质量等级及相关质量参数需根据业主要求提供所需的具备检测资质的第三方检测机构出具的检测报告，若检测报告不合格将取消中标资格。</w:t>
      </w:r>
    </w:p>
    <w:p w14:paraId="78020B19">
      <w:pPr>
        <w:pStyle w:val="7"/>
        <w:tabs>
          <w:tab w:val="left" w:pos="2712"/>
          <w:tab w:val="left" w:pos="3132"/>
          <w:tab w:val="left" w:pos="3772"/>
          <w:tab w:val="left" w:pos="6967"/>
          <w:tab w:val="left" w:pos="7570"/>
        </w:tabs>
        <w:spacing w:line="480" w:lineRule="exact"/>
        <w:rPr>
          <w:rFonts w:hint="eastAsia" w:ascii="仿宋" w:hAnsi="仿宋" w:eastAsia="仿宋" w:cs="仿宋"/>
          <w:sz w:val="24"/>
        </w:rPr>
      </w:pPr>
      <w:r>
        <w:rPr>
          <w:rFonts w:hint="eastAsia" w:ascii="仿宋" w:hAnsi="仿宋" w:eastAsia="仿宋" w:cs="仿宋"/>
          <w:sz w:val="24"/>
          <w:lang w:val="en-US"/>
        </w:rPr>
        <w:t>2.3</w:t>
      </w:r>
      <w:r>
        <w:rPr>
          <w:rFonts w:ascii="仿宋" w:hAnsi="仿宋" w:eastAsia="仿宋" w:cs="仿宋"/>
          <w:sz w:val="24"/>
        </w:rPr>
        <w:t>材质证明书：根据甲方要求提供相关证明资料，不限于产品说明书。</w:t>
      </w:r>
    </w:p>
    <w:p w14:paraId="1AFF04B1">
      <w:pPr>
        <w:pStyle w:val="7"/>
        <w:tabs>
          <w:tab w:val="left" w:pos="2712"/>
          <w:tab w:val="left" w:pos="3132"/>
          <w:tab w:val="left" w:pos="3772"/>
          <w:tab w:val="left" w:pos="6967"/>
          <w:tab w:val="left" w:pos="7570"/>
        </w:tabs>
        <w:spacing w:line="480" w:lineRule="exact"/>
        <w:rPr>
          <w:rFonts w:hint="eastAsia" w:ascii="仿宋" w:hAnsi="仿宋" w:eastAsia="仿宋" w:cs="仿宋"/>
          <w:sz w:val="24"/>
        </w:rPr>
      </w:pPr>
      <w:r>
        <w:rPr>
          <w:rFonts w:hint="eastAsia" w:ascii="仿宋" w:hAnsi="仿宋" w:eastAsia="仿宋" w:cs="仿宋"/>
          <w:sz w:val="24"/>
          <w:lang w:val="en-US"/>
        </w:rPr>
        <w:t>2.4</w:t>
      </w:r>
      <w:r>
        <w:rPr>
          <w:rFonts w:hint="eastAsia" w:ascii="仿宋" w:hAnsi="仿宋" w:eastAsia="仿宋" w:cs="仿宋"/>
          <w:sz w:val="24"/>
        </w:rPr>
        <w:t>产品质量应严格符合工程项目的设计、招标文件及有关工程施工及验收规范的要求，同时产品质量及服务必须满足甲方为保证工程质量而对质量、服务等方面提出的各种进一步要求。</w:t>
      </w:r>
    </w:p>
    <w:p w14:paraId="49420B6C">
      <w:pPr>
        <w:spacing w:line="510" w:lineRule="exact"/>
        <w:rPr>
          <w:rFonts w:hint="eastAsia" w:ascii="仿宋" w:hAnsi="仿宋" w:eastAsia="仿宋" w:cs="仿宋"/>
          <w:sz w:val="24"/>
          <w:szCs w:val="24"/>
        </w:rPr>
      </w:pPr>
      <w:r>
        <w:rPr>
          <w:rFonts w:hint="eastAsia" w:ascii="仿宋" w:hAnsi="仿宋" w:eastAsia="仿宋" w:cs="仿宋"/>
          <w:sz w:val="24"/>
        </w:rPr>
        <w:t>2.5质量保证期：</w:t>
      </w:r>
      <w:r>
        <w:rPr>
          <w:rFonts w:hint="eastAsia" w:ascii="仿宋" w:hAnsi="仿宋" w:eastAsia="仿宋" w:cs="仿宋"/>
          <w:sz w:val="24"/>
          <w:u w:val="single"/>
        </w:rPr>
        <w:t xml:space="preserve">6 </w:t>
      </w:r>
      <w:r>
        <w:rPr>
          <w:rFonts w:hint="eastAsia" w:ascii="仿宋" w:hAnsi="仿宋" w:eastAsia="仿宋" w:cs="仿宋"/>
          <w:sz w:val="24"/>
        </w:rPr>
        <w:t>年（从本工程竣工验收完毕之日起算）</w:t>
      </w:r>
      <w:r>
        <w:rPr>
          <w:rFonts w:hint="eastAsia" w:ascii="仿宋" w:hAnsi="仿宋" w:eastAsia="仿宋" w:cs="仿宋"/>
          <w:sz w:val="24"/>
          <w:szCs w:val="24"/>
        </w:rPr>
        <w:t>。质量保证期内乙方免费提供质量缺陷货物的维修、更换等服务，</w:t>
      </w:r>
      <w:r>
        <w:rPr>
          <w:rFonts w:hint="eastAsia" w:ascii="仿宋" w:hAnsi="仿宋" w:eastAsia="仿宋" w:cs="仿宋"/>
          <w:color w:val="000000"/>
          <w:sz w:val="24"/>
        </w:rPr>
        <w:t>乙方必须在接获甲方提出书面要求后3日内给予书面答复。如有必要，乙方在1日内应指派人员到现场，将有质量缺陷的货物进行维修、更换，一切费用由乙方承担。</w:t>
      </w:r>
    </w:p>
    <w:p w14:paraId="4A134736">
      <w:pPr>
        <w:spacing w:line="510" w:lineRule="exact"/>
        <w:rPr>
          <w:rFonts w:hint="eastAsia" w:ascii="仿宋" w:hAnsi="仿宋" w:eastAsia="仿宋" w:cs="仿宋"/>
          <w:color w:val="000000"/>
          <w:sz w:val="24"/>
        </w:rPr>
      </w:pPr>
      <w:r>
        <w:rPr>
          <w:rFonts w:hint="eastAsia" w:ascii="仿宋" w:hAnsi="仿宋" w:eastAsia="仿宋" w:cs="仿宋"/>
          <w:color w:val="000000"/>
          <w:sz w:val="24"/>
        </w:rPr>
        <w:t>2.6质保金：</w:t>
      </w:r>
      <w:r>
        <w:rPr>
          <w:rFonts w:hint="eastAsia" w:ascii="仿宋" w:hAnsi="仿宋" w:eastAsia="仿宋" w:cs="仿宋"/>
          <w:sz w:val="24"/>
        </w:rPr>
        <w:t>合同金额的3%，质保金</w:t>
      </w:r>
      <w:r>
        <w:rPr>
          <w:rFonts w:hint="eastAsia" w:ascii="仿宋" w:hAnsi="仿宋" w:eastAsia="仿宋" w:cs="仿宋"/>
          <w:color w:val="000000"/>
          <w:sz w:val="24"/>
        </w:rPr>
        <w:t>可使用银行保函（保函出具要求同履约保函，保函有效期至质保期结束）。</w:t>
      </w:r>
    </w:p>
    <w:p w14:paraId="6D4EF4CF">
      <w:pPr>
        <w:spacing w:line="510" w:lineRule="exact"/>
        <w:rPr>
          <w:rFonts w:hint="eastAsia" w:ascii="仿宋" w:hAnsi="仿宋" w:eastAsia="仿宋" w:cs="仿宋"/>
          <w:color w:val="000000"/>
          <w:sz w:val="24"/>
        </w:rPr>
      </w:pPr>
      <w:r>
        <w:rPr>
          <w:rFonts w:hint="eastAsia" w:ascii="仿宋" w:hAnsi="仿宋" w:eastAsia="仿宋" w:cs="仿宋"/>
          <w:color w:val="000000"/>
          <w:sz w:val="24"/>
        </w:rPr>
        <w:t>2.7</w:t>
      </w:r>
      <w:r>
        <w:rPr>
          <w:rFonts w:ascii="仿宋" w:hAnsi="仿宋" w:eastAsia="仿宋" w:cs="仿宋"/>
          <w:color w:val="000000"/>
          <w:sz w:val="24"/>
        </w:rPr>
        <w:t>其他相关要求：</w:t>
      </w:r>
    </w:p>
    <w:p w14:paraId="2670174C">
      <w:pPr>
        <w:spacing w:line="510" w:lineRule="exact"/>
        <w:rPr>
          <w:rFonts w:hint="eastAsia"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正式送货之前，如需</w:t>
      </w:r>
      <w:r>
        <w:rPr>
          <w:rFonts w:hint="eastAsia" w:ascii="仿宋" w:hAnsi="仿宋" w:eastAsia="仿宋" w:cs="仿宋"/>
          <w:color w:val="000000"/>
          <w:sz w:val="24"/>
        </w:rPr>
        <w:t>乙</w:t>
      </w:r>
      <w:r>
        <w:rPr>
          <w:rFonts w:ascii="仿宋" w:hAnsi="仿宋" w:eastAsia="仿宋" w:cs="仿宋"/>
          <w:color w:val="000000"/>
          <w:sz w:val="24"/>
        </w:rPr>
        <w:t>方提供样品，</w:t>
      </w:r>
      <w:r>
        <w:rPr>
          <w:rFonts w:hint="eastAsia" w:ascii="仿宋" w:hAnsi="仿宋" w:eastAsia="仿宋" w:cs="仿宋"/>
          <w:color w:val="000000"/>
          <w:sz w:val="24"/>
        </w:rPr>
        <w:t>甲</w:t>
      </w:r>
      <w:r>
        <w:rPr>
          <w:rFonts w:ascii="仿宋" w:hAnsi="仿宋" w:eastAsia="仿宋" w:cs="仿宋"/>
          <w:color w:val="000000"/>
          <w:sz w:val="24"/>
        </w:rPr>
        <w:t>方提前通知</w:t>
      </w:r>
      <w:r>
        <w:rPr>
          <w:rFonts w:hint="eastAsia" w:ascii="仿宋" w:hAnsi="仿宋" w:eastAsia="仿宋" w:cs="仿宋"/>
          <w:color w:val="000000"/>
          <w:sz w:val="24"/>
        </w:rPr>
        <w:t>乙</w:t>
      </w:r>
      <w:r>
        <w:rPr>
          <w:rFonts w:ascii="仿宋" w:hAnsi="仿宋" w:eastAsia="仿宋" w:cs="仿宋"/>
          <w:color w:val="000000"/>
          <w:sz w:val="24"/>
        </w:rPr>
        <w:t>方。</w:t>
      </w:r>
    </w:p>
    <w:p w14:paraId="43BD456E">
      <w:pPr>
        <w:spacing w:line="560" w:lineRule="exact"/>
        <w:rPr>
          <w:rFonts w:hint="eastAsia" w:ascii="仿宋" w:hAnsi="仿宋" w:eastAsia="仿宋" w:cs="仿宋"/>
          <w:sz w:val="24"/>
          <w:szCs w:val="24"/>
        </w:rPr>
      </w:pPr>
      <w:r>
        <w:rPr>
          <w:rFonts w:hint="eastAsia" w:ascii="仿宋" w:hAnsi="仿宋" w:eastAsia="仿宋" w:cs="仿宋"/>
          <w:sz w:val="24"/>
          <w:szCs w:val="24"/>
        </w:rPr>
        <w:t>（2）乙方免费提供技术支持，技术资料支持，指导调试和安装。</w:t>
      </w:r>
    </w:p>
    <w:p w14:paraId="6055FF9C">
      <w:pPr>
        <w:spacing w:line="560" w:lineRule="exact"/>
        <w:rPr>
          <w:rFonts w:hint="eastAsia" w:ascii="仿宋" w:hAnsi="仿宋" w:eastAsia="仿宋" w:cs="仿宋"/>
          <w:sz w:val="24"/>
          <w:szCs w:val="24"/>
        </w:rPr>
      </w:pPr>
      <w:r>
        <w:rPr>
          <w:rFonts w:hint="eastAsia" w:ascii="仿宋" w:hAnsi="仿宋" w:eastAsia="仿宋" w:cs="仿宋"/>
          <w:sz w:val="24"/>
          <w:szCs w:val="24"/>
        </w:rPr>
        <w:t>（3）保修期（6年）内免费维修，乙方应当在甲方要求的日期内完成维修。保修期过后只收器件成本费。保修期六年内，如乙方拒绝维修或逾期维修的，甲方有权委托其他单位进行维修，产生的费用由乙方承担。</w:t>
      </w:r>
    </w:p>
    <w:p w14:paraId="7293C766">
      <w:pPr>
        <w:spacing w:line="560" w:lineRule="exact"/>
        <w:rPr>
          <w:rFonts w:hint="eastAsia" w:ascii="仿宋" w:hAnsi="仿宋" w:eastAsia="仿宋" w:cs="仿宋"/>
          <w:sz w:val="24"/>
          <w:szCs w:val="24"/>
        </w:rPr>
      </w:pPr>
      <w:r>
        <w:rPr>
          <w:rFonts w:hint="eastAsia" w:ascii="仿宋" w:hAnsi="仿宋" w:eastAsia="仿宋" w:cs="仿宋"/>
          <w:sz w:val="24"/>
          <w:szCs w:val="24"/>
        </w:rPr>
        <w:t>（4）水表出厂含8年（生产日期前两个月开始算）通讯费用，乙方应确保本批次产品为最新日期，最晚交付不得晚于生产日期后</w:t>
      </w:r>
      <w:r>
        <w:rPr>
          <w:rFonts w:ascii="仿宋" w:hAnsi="仿宋" w:eastAsia="仿宋" w:cs="仿宋"/>
          <w:sz w:val="24"/>
          <w:szCs w:val="24"/>
        </w:rPr>
        <w:t>2</w:t>
      </w:r>
      <w:r>
        <w:rPr>
          <w:rFonts w:hint="eastAsia" w:ascii="仿宋" w:hAnsi="仿宋" w:eastAsia="仿宋" w:cs="仿宋"/>
          <w:sz w:val="24"/>
          <w:szCs w:val="24"/>
        </w:rPr>
        <w:t>个月。</w:t>
      </w:r>
    </w:p>
    <w:p w14:paraId="614315A8">
      <w:pPr>
        <w:spacing w:line="560" w:lineRule="exact"/>
      </w:pPr>
      <w:r>
        <w:rPr>
          <w:rFonts w:hint="eastAsia" w:ascii="仿宋" w:hAnsi="仿宋" w:eastAsia="仿宋" w:cs="仿宋"/>
          <w:sz w:val="24"/>
          <w:szCs w:val="24"/>
        </w:rPr>
        <w:t>（5）后续通讯费缴纳方式：通过水表的ID号自行缴纳或通过乙方代缴。实际费用按照通讯运营商资费标准，如果遇到通讯运营商提高数据通讯制式，乙方负责免费升级通讯模块。</w:t>
      </w:r>
    </w:p>
    <w:p w14:paraId="35051AA1">
      <w:pPr>
        <w:numPr>
          <w:ilvl w:val="0"/>
          <w:numId w:val="2"/>
        </w:numPr>
        <w:spacing w:line="510" w:lineRule="exact"/>
        <w:rPr>
          <w:rFonts w:hint="eastAsia" w:ascii="仿宋" w:hAnsi="仿宋" w:eastAsia="仿宋" w:cs="仿宋"/>
          <w:b/>
          <w:color w:val="000000"/>
          <w:sz w:val="24"/>
        </w:rPr>
      </w:pPr>
      <w:r>
        <w:rPr>
          <w:rFonts w:hint="eastAsia" w:ascii="仿宋" w:hAnsi="仿宋" w:eastAsia="仿宋" w:cs="仿宋"/>
          <w:b/>
          <w:color w:val="000000"/>
          <w:sz w:val="24"/>
        </w:rPr>
        <w:t>验收方法</w:t>
      </w:r>
    </w:p>
    <w:p w14:paraId="4872615E">
      <w:pPr>
        <w:spacing w:line="360" w:lineRule="auto"/>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按产品功能描述和国家、地方、行业的技术规范和甲方采购标准验收，</w:t>
      </w:r>
      <w:r>
        <w:rPr>
          <w:rFonts w:hint="eastAsia" w:ascii="仿宋" w:hAnsi="仿宋" w:eastAsia="仿宋" w:cs="仿宋"/>
          <w:sz w:val="24"/>
          <w:lang w:val="en-US" w:eastAsia="zh-CN"/>
        </w:rPr>
        <w:t>具体验收合格数量以甲方、乙方、监理方及总包方共同确认的数据为准。</w:t>
      </w:r>
      <w:r>
        <w:rPr>
          <w:rFonts w:hint="eastAsia" w:ascii="仿宋" w:hAnsi="仿宋" w:eastAsia="仿宋" w:cs="仿宋"/>
          <w:sz w:val="24"/>
        </w:rPr>
        <w:t>每件产品须标有规格型号及相关配件，每种规格产品须带有产品合格证。甲方对乙方所供货物按照规范随机抽样送第三方检测机构检测，检测范围由甲方决定，检测费用由甲方承担，若检测结果不合格则该批次产品视为不合格给予退场，所产生的费用乙方承担。</w:t>
      </w:r>
    </w:p>
    <w:p w14:paraId="6E8F032B">
      <w:pPr>
        <w:spacing w:line="360" w:lineRule="auto"/>
      </w:pPr>
      <w:r>
        <w:rPr>
          <w:rFonts w:hint="eastAsia" w:ascii="仿宋" w:hAnsi="仿宋" w:eastAsia="仿宋" w:cs="仿宋"/>
          <w:sz w:val="24"/>
          <w:lang w:val="en-US" w:eastAsia="zh-CN"/>
        </w:rPr>
        <w:t>3.2</w:t>
      </w:r>
      <w:r>
        <w:rPr>
          <w:rFonts w:hint="eastAsia" w:ascii="仿宋" w:hAnsi="仿宋" w:eastAsia="仿宋" w:cs="仿宋"/>
          <w:sz w:val="24"/>
        </w:rPr>
        <w:t>因为乙方原因提供的产品功能和合同不一致的，甲方有权调换，调换货物产生的费用，由乙方负担，交货期限不予顺延。由于甲方自身原因提出货物更换的，乙方应给予配合，调换货增加的成本费用，由甲方负担。</w:t>
      </w:r>
    </w:p>
    <w:p w14:paraId="3E97F5B8">
      <w:pPr>
        <w:numPr>
          <w:ilvl w:val="0"/>
          <w:numId w:val="2"/>
        </w:numPr>
        <w:spacing w:line="510" w:lineRule="exact"/>
        <w:rPr>
          <w:rFonts w:hint="eastAsia" w:ascii="仿宋" w:hAnsi="仿宋" w:eastAsia="仿宋" w:cs="仿宋"/>
          <w:b/>
          <w:color w:val="000000"/>
          <w:sz w:val="24"/>
        </w:rPr>
      </w:pPr>
      <w:r>
        <w:rPr>
          <w:rFonts w:hint="eastAsia" w:ascii="仿宋" w:hAnsi="仿宋" w:eastAsia="仿宋" w:cs="仿宋"/>
          <w:b/>
          <w:color w:val="000000"/>
          <w:sz w:val="24"/>
        </w:rPr>
        <w:t>交货地点、交货人员、交货期限</w:t>
      </w:r>
    </w:p>
    <w:p w14:paraId="15470DF2">
      <w:pPr>
        <w:spacing w:line="510" w:lineRule="exact"/>
        <w:rPr>
          <w:rFonts w:hint="eastAsia" w:ascii="仿宋" w:hAnsi="仿宋" w:eastAsia="仿宋" w:cs="仿宋"/>
          <w:color w:val="000000"/>
          <w:sz w:val="24"/>
        </w:rPr>
      </w:pPr>
      <w:r>
        <w:rPr>
          <w:rFonts w:hint="eastAsia" w:ascii="仿宋" w:hAnsi="仿宋" w:eastAsia="仿宋" w:cs="仿宋"/>
          <w:color w:val="000000"/>
          <w:sz w:val="24"/>
        </w:rPr>
        <w:t>4.1交货地点：甲方指定交货地点：洋浦自来水公司。乙方按甲方的供货通知所要求的规格、数量，供应甲方合同明细中要求的物资。</w:t>
      </w:r>
    </w:p>
    <w:p w14:paraId="0233B767">
      <w:pPr>
        <w:spacing w:line="510" w:lineRule="exact"/>
        <w:rPr>
          <w:rFonts w:hint="eastAsia" w:ascii="仿宋" w:hAnsi="仿宋" w:eastAsia="仿宋" w:cs="仿宋"/>
          <w:color w:val="000000"/>
          <w:sz w:val="24"/>
        </w:rPr>
      </w:pPr>
      <w:bookmarkStart w:id="11" w:name="_Hlk171936456"/>
      <w:r>
        <w:rPr>
          <w:rFonts w:hint="eastAsia" w:ascii="仿宋" w:hAnsi="仿宋" w:eastAsia="仿宋" w:cs="仿宋"/>
          <w:color w:val="000000"/>
          <w:sz w:val="24"/>
        </w:rPr>
        <w:t>4.2甲方指定收货人员姓名：             ，联系电话:              负责签字验收；乙方指定送货人员姓名：         ，联系电话:           ，微信号：             。任一方如要求变更上述人员及相关信息的，应在送货、交货前书面通知另一方，该通知函件作为本合同的补充条款，非合同约定人员签字的货单，不作为双方结算的依据。</w:t>
      </w:r>
    </w:p>
    <w:bookmarkEnd w:id="11"/>
    <w:p w14:paraId="51E62A79">
      <w:pPr>
        <w:spacing w:line="510" w:lineRule="exact"/>
        <w:rPr>
          <w:rFonts w:hint="eastAsia" w:ascii="仿宋" w:hAnsi="仿宋" w:eastAsia="仿宋" w:cs="仿宋"/>
          <w:color w:val="000000"/>
          <w:sz w:val="24"/>
        </w:rPr>
      </w:pPr>
      <w:r>
        <w:rPr>
          <w:rFonts w:hint="eastAsia" w:ascii="仿宋" w:hAnsi="仿宋" w:eastAsia="仿宋" w:cs="仿宋"/>
          <w:color w:val="000000"/>
          <w:sz w:val="24"/>
        </w:rPr>
        <w:t>4.3交货日期：合同签订完成，甲方下采购订单，乙方收到订单后10个日历天内具备供货条件，乙方收到每批次货物供货指令3个日历天内送达该项目指定地点。</w:t>
      </w:r>
    </w:p>
    <w:p w14:paraId="45638952">
      <w:pPr>
        <w:spacing w:line="510" w:lineRule="exact"/>
        <w:rPr>
          <w:rFonts w:hint="eastAsia" w:ascii="仿宋" w:hAnsi="仿宋" w:eastAsia="仿宋" w:cs="仿宋"/>
          <w:b/>
          <w:color w:val="000000"/>
          <w:sz w:val="24"/>
        </w:rPr>
      </w:pPr>
      <w:r>
        <w:rPr>
          <w:rFonts w:hint="eastAsia" w:ascii="仿宋" w:hAnsi="仿宋" w:eastAsia="仿宋" w:cs="仿宋"/>
          <w:b/>
          <w:color w:val="000000"/>
          <w:sz w:val="24"/>
        </w:rPr>
        <w:t>5.货款的结算及支付方式</w:t>
      </w:r>
    </w:p>
    <w:p w14:paraId="06D95D06">
      <w:pPr>
        <w:spacing w:line="510" w:lineRule="exact"/>
        <w:rPr>
          <w:rFonts w:hint="eastAsia" w:ascii="仿宋" w:hAnsi="仿宋" w:eastAsia="仿宋" w:cs="仿宋"/>
          <w:color w:val="000000"/>
          <w:sz w:val="24"/>
        </w:rPr>
      </w:pPr>
      <w:r>
        <w:rPr>
          <w:rFonts w:hint="eastAsia" w:ascii="仿宋" w:hAnsi="仿宋" w:eastAsia="仿宋" w:cs="仿宋"/>
          <w:color w:val="000000"/>
          <w:sz w:val="24"/>
        </w:rPr>
        <w:t>5.1计量方式：</w:t>
      </w:r>
      <w:r>
        <w:rPr>
          <w:rFonts w:hint="eastAsia" w:ascii="仿宋" w:hAnsi="仿宋" w:eastAsia="仿宋" w:cs="仿宋"/>
          <w:color w:val="000000"/>
          <w:sz w:val="24"/>
          <w:lang w:val="en-US" w:eastAsia="zh-CN"/>
        </w:rPr>
        <w:t>整齐堆码点数计量</w:t>
      </w:r>
      <w:r>
        <w:rPr>
          <w:rFonts w:hint="eastAsia" w:ascii="仿宋" w:hAnsi="仿宋" w:eastAsia="仿宋" w:cs="仿宋"/>
          <w:color w:val="000000"/>
          <w:sz w:val="24"/>
        </w:rPr>
        <w:t>，具体验收合格数量以甲方、乙方、监理方及总包方共同确认数据为准。</w:t>
      </w:r>
    </w:p>
    <w:p w14:paraId="54881507">
      <w:pPr>
        <w:spacing w:line="520" w:lineRule="exact"/>
        <w:rPr>
          <w:rFonts w:hint="eastAsia" w:ascii="仿宋" w:hAnsi="仿宋" w:eastAsia="仿宋" w:cs="仿宋"/>
          <w:color w:val="000000"/>
          <w:sz w:val="24"/>
        </w:rPr>
      </w:pPr>
      <w:r>
        <w:rPr>
          <w:rFonts w:hint="eastAsia" w:ascii="仿宋" w:hAnsi="仿宋" w:eastAsia="仿宋" w:cs="仿宋"/>
          <w:color w:val="000000"/>
          <w:sz w:val="24"/>
        </w:rPr>
        <w:t>5.2结算方式：乙方在缴纳足额履约保证金且所送货物验收合格(乙方须提供质量合格证书)后，甲方付款至双方结算金额的70%，待该批次货物安装与系统调试使用合格后，甲方支付至双方结算金额的97%，剩余3%作为质保金。质保期前三年不退还质保金，从第四年开始每年无息退还质保金的20%,6年质保期结束后退还剩余全部质保金。质保金可使用银行保函</w:t>
      </w:r>
      <w:r>
        <w:rPr>
          <w:rFonts w:ascii="仿宋" w:hAnsi="仿宋" w:eastAsia="仿宋" w:cs="仿宋"/>
          <w:color w:val="000000"/>
          <w:sz w:val="24"/>
        </w:rPr>
        <w:t>,(</w:t>
      </w:r>
      <w:r>
        <w:rPr>
          <w:rFonts w:hint="eastAsia" w:ascii="仿宋" w:hAnsi="仿宋" w:eastAsia="仿宋" w:cs="仿宋"/>
          <w:color w:val="000000"/>
          <w:sz w:val="24"/>
        </w:rPr>
        <w:t>甲方可通过银行转账、银行承兑汇票的方式支付，如甲方以银行承兑方式支付货款的，承兑贴现利息由甲方承担</w:t>
      </w:r>
      <w:r>
        <w:rPr>
          <w:rFonts w:ascii="仿宋" w:hAnsi="仿宋" w:eastAsia="仿宋" w:cs="仿宋"/>
          <w:color w:val="000000"/>
          <w:sz w:val="24"/>
        </w:rPr>
        <w:t>)</w:t>
      </w:r>
      <w:r>
        <w:rPr>
          <w:rFonts w:hint="eastAsia" w:ascii="仿宋" w:hAnsi="仿宋" w:eastAsia="仿宋" w:cs="仿宋"/>
          <w:color w:val="000000"/>
          <w:sz w:val="24"/>
        </w:rPr>
        <w:t>。</w:t>
      </w:r>
    </w:p>
    <w:p w14:paraId="78A84AE0">
      <w:pPr>
        <w:spacing w:line="510" w:lineRule="exact"/>
        <w:rPr>
          <w:rFonts w:hint="eastAsia" w:ascii="仿宋" w:hAnsi="仿宋" w:eastAsia="仿宋" w:cs="仿宋"/>
          <w:color w:val="000000"/>
          <w:sz w:val="24"/>
        </w:rPr>
      </w:pPr>
      <w:r>
        <w:rPr>
          <w:rFonts w:hint="eastAsia" w:ascii="仿宋" w:hAnsi="仿宋" w:eastAsia="仿宋" w:cs="仿宋"/>
          <w:color w:val="000000"/>
          <w:sz w:val="24"/>
        </w:rPr>
        <w:t>5.3乙方指定收款账户：</w:t>
      </w:r>
    </w:p>
    <w:p w14:paraId="702F001B">
      <w:pPr>
        <w:spacing w:line="510" w:lineRule="exact"/>
        <w:rPr>
          <w:rFonts w:hint="eastAsia" w:ascii="仿宋" w:hAnsi="仿宋" w:eastAsia="仿宋" w:cs="仿宋"/>
          <w:color w:val="000000"/>
          <w:sz w:val="24"/>
        </w:rPr>
      </w:pPr>
      <w:r>
        <w:rPr>
          <w:rFonts w:hint="eastAsia" w:ascii="仿宋" w:hAnsi="仿宋" w:eastAsia="仿宋" w:cs="仿宋"/>
          <w:color w:val="000000"/>
          <w:sz w:val="24"/>
        </w:rPr>
        <w:t>名    称：_________</w:t>
      </w:r>
      <w:r>
        <w:rPr>
          <w:rFonts w:hint="eastAsia" w:ascii="仿宋" w:hAnsi="仿宋" w:eastAsia="仿宋" w:cs="仿宋"/>
          <w:sz w:val="24"/>
        </w:rPr>
        <w:t>有限公司</w:t>
      </w:r>
    </w:p>
    <w:p w14:paraId="05DA705A">
      <w:pPr>
        <w:spacing w:line="510" w:lineRule="exact"/>
        <w:rPr>
          <w:rFonts w:hint="eastAsia" w:ascii="仿宋" w:hAnsi="仿宋" w:eastAsia="仿宋" w:cs="仿宋"/>
          <w:color w:val="000000"/>
          <w:sz w:val="24"/>
        </w:rPr>
      </w:pPr>
      <w:r>
        <w:rPr>
          <w:rFonts w:hint="eastAsia" w:ascii="仿宋" w:hAnsi="仿宋" w:eastAsia="仿宋" w:cs="仿宋"/>
          <w:color w:val="000000"/>
          <w:sz w:val="24"/>
        </w:rPr>
        <w:t>开 户 行：_________</w:t>
      </w:r>
    </w:p>
    <w:p w14:paraId="7F742EB0">
      <w:pPr>
        <w:spacing w:line="510" w:lineRule="exact"/>
        <w:rPr>
          <w:rFonts w:hint="eastAsia" w:ascii="仿宋" w:hAnsi="仿宋" w:eastAsia="仿宋" w:cs="仿宋"/>
          <w:color w:val="000000"/>
          <w:sz w:val="24"/>
        </w:rPr>
      </w:pPr>
      <w:r>
        <w:rPr>
          <w:rFonts w:hint="eastAsia" w:ascii="仿宋" w:hAnsi="仿宋" w:eastAsia="仿宋" w:cs="仿宋"/>
          <w:color w:val="000000"/>
          <w:sz w:val="24"/>
        </w:rPr>
        <w:t>账    号：</w:t>
      </w:r>
      <w:r>
        <w:rPr>
          <w:rFonts w:hint="eastAsia" w:ascii="仿宋" w:hAnsi="仿宋" w:eastAsia="仿宋" w:cs="仿宋"/>
          <w:color w:val="000000"/>
          <w:kern w:val="0"/>
          <w:sz w:val="24"/>
        </w:rPr>
        <w:t>_________</w:t>
      </w:r>
    </w:p>
    <w:p w14:paraId="669DC229">
      <w:pPr>
        <w:spacing w:line="510" w:lineRule="exact"/>
        <w:rPr>
          <w:rFonts w:hint="eastAsia" w:ascii="仿宋" w:hAnsi="仿宋" w:eastAsia="仿宋" w:cs="仿宋"/>
          <w:color w:val="000000"/>
          <w:sz w:val="24"/>
        </w:rPr>
      </w:pPr>
      <w:r>
        <w:rPr>
          <w:rFonts w:hint="eastAsia" w:ascii="仿宋" w:hAnsi="仿宋" w:eastAsia="仿宋" w:cs="仿宋"/>
          <w:color w:val="000000"/>
          <w:sz w:val="24"/>
        </w:rPr>
        <w:t>5.4甲方开票信息：</w:t>
      </w:r>
    </w:p>
    <w:p w14:paraId="1BDD141B">
      <w:pPr>
        <w:spacing w:line="510" w:lineRule="exact"/>
        <w:rPr>
          <w:rFonts w:hint="eastAsia" w:ascii="仿宋" w:hAnsi="仿宋" w:eastAsia="仿宋" w:cs="仿宋"/>
          <w:color w:val="000000"/>
          <w:sz w:val="24"/>
        </w:rPr>
      </w:pPr>
      <w:r>
        <w:rPr>
          <w:rFonts w:hint="eastAsia" w:ascii="仿宋" w:hAnsi="仿宋" w:eastAsia="仿宋" w:cs="仿宋"/>
        </w:rPr>
        <w:t>名</w:t>
      </w:r>
      <w:r>
        <w:rPr>
          <w:rFonts w:hint="eastAsia" w:ascii="仿宋" w:hAnsi="仿宋" w:eastAsia="仿宋" w:cs="仿宋"/>
          <w:color w:val="000000"/>
          <w:sz w:val="24"/>
        </w:rPr>
        <w:t xml:space="preserve">    称：海南洋浦陆海能源发展有限公司</w:t>
      </w:r>
    </w:p>
    <w:p w14:paraId="5428989E">
      <w:pPr>
        <w:spacing w:line="510" w:lineRule="exact"/>
        <w:rPr>
          <w:rFonts w:hint="eastAsia" w:ascii="仿宋" w:hAnsi="仿宋" w:eastAsia="仿宋" w:cs="仿宋"/>
          <w:color w:val="000000"/>
          <w:sz w:val="24"/>
          <w:lang w:val="en-US" w:eastAsia="zh-CN"/>
        </w:rPr>
      </w:pPr>
      <w:r>
        <w:rPr>
          <w:rFonts w:hint="eastAsia" w:ascii="仿宋" w:hAnsi="仿宋" w:eastAsia="仿宋" w:cs="仿宋"/>
          <w:color w:val="000000"/>
          <w:sz w:val="24"/>
        </w:rPr>
        <w:t>纳税人识别号：</w:t>
      </w:r>
      <w:r>
        <w:rPr>
          <w:rFonts w:hint="eastAsia" w:ascii="仿宋" w:hAnsi="仿宋" w:eastAsia="仿宋" w:cs="仿宋"/>
          <w:color w:val="000000"/>
          <w:sz w:val="24"/>
          <w:lang w:val="en-US" w:eastAsia="zh-CN"/>
        </w:rPr>
        <w:t xml:space="preserve"> </w:t>
      </w:r>
    </w:p>
    <w:p w14:paraId="3D30452D">
      <w:pPr>
        <w:spacing w:line="510" w:lineRule="exact"/>
        <w:rPr>
          <w:rFonts w:hint="eastAsia" w:ascii="仿宋" w:hAnsi="仿宋" w:eastAsia="仿宋" w:cs="仿宋"/>
          <w:color w:val="000000"/>
          <w:sz w:val="24"/>
        </w:rPr>
      </w:pPr>
      <w:r>
        <w:rPr>
          <w:rFonts w:hint="eastAsia" w:ascii="仿宋" w:hAnsi="仿宋" w:eastAsia="仿宋" w:cs="仿宋"/>
          <w:color w:val="000000"/>
          <w:sz w:val="24"/>
        </w:rPr>
        <w:t>营业地址：</w:t>
      </w:r>
    </w:p>
    <w:p w14:paraId="34D6BC3A">
      <w:pPr>
        <w:spacing w:line="510" w:lineRule="exact"/>
        <w:rPr>
          <w:rFonts w:hint="eastAsia" w:ascii="仿宋" w:hAnsi="仿宋" w:eastAsia="仿宋" w:cs="仿宋"/>
          <w:color w:val="000000"/>
          <w:sz w:val="24"/>
        </w:rPr>
      </w:pPr>
      <w:r>
        <w:rPr>
          <w:rFonts w:hint="eastAsia" w:ascii="仿宋" w:hAnsi="仿宋" w:eastAsia="仿宋" w:cs="仿宋"/>
          <w:color w:val="000000"/>
          <w:sz w:val="24"/>
        </w:rPr>
        <w:t>电    话</w:t>
      </w:r>
    </w:p>
    <w:p w14:paraId="40E73EEE">
      <w:pPr>
        <w:spacing w:line="510" w:lineRule="exact"/>
        <w:rPr>
          <w:rFonts w:hint="eastAsia" w:ascii="仿宋" w:hAnsi="仿宋" w:eastAsia="仿宋" w:cs="仿宋"/>
          <w:color w:val="000000"/>
          <w:sz w:val="24"/>
        </w:rPr>
      </w:pPr>
      <w:r>
        <w:rPr>
          <w:rFonts w:hint="eastAsia" w:ascii="仿宋" w:hAnsi="仿宋" w:eastAsia="仿宋" w:cs="仿宋"/>
          <w:color w:val="000000"/>
          <w:sz w:val="24"/>
        </w:rPr>
        <w:t>开 户 行：</w:t>
      </w:r>
    </w:p>
    <w:p w14:paraId="09FA2AC6">
      <w:pPr>
        <w:spacing w:line="510" w:lineRule="exact"/>
        <w:rPr>
          <w:rFonts w:hint="eastAsia" w:ascii="仿宋" w:hAnsi="仿宋" w:eastAsia="仿宋" w:cs="仿宋"/>
          <w:color w:val="000000"/>
          <w:sz w:val="24"/>
        </w:rPr>
      </w:pPr>
      <w:r>
        <w:rPr>
          <w:rFonts w:hint="eastAsia" w:ascii="仿宋" w:hAnsi="仿宋" w:eastAsia="仿宋" w:cs="仿宋"/>
          <w:color w:val="000000"/>
          <w:sz w:val="24"/>
        </w:rPr>
        <w:t>银行账号：</w:t>
      </w:r>
    </w:p>
    <w:p w14:paraId="4D6FFFE9">
      <w:pPr>
        <w:spacing w:line="510" w:lineRule="exact"/>
        <w:rPr>
          <w:rFonts w:hint="eastAsia" w:ascii="仿宋" w:hAnsi="仿宋" w:eastAsia="仿宋" w:cs="仿宋"/>
          <w:b/>
          <w:color w:val="000000"/>
          <w:sz w:val="24"/>
        </w:rPr>
      </w:pPr>
      <w:r>
        <w:rPr>
          <w:rFonts w:hint="eastAsia" w:ascii="仿宋" w:hAnsi="仿宋" w:eastAsia="仿宋" w:cs="仿宋"/>
          <w:b/>
          <w:color w:val="000000"/>
          <w:sz w:val="24"/>
        </w:rPr>
        <w:t>6.违约责任</w:t>
      </w:r>
    </w:p>
    <w:p w14:paraId="5D8C8E14">
      <w:pPr>
        <w:spacing w:line="510" w:lineRule="exact"/>
        <w:rPr>
          <w:rFonts w:hint="eastAsia" w:ascii="仿宋" w:hAnsi="仿宋" w:eastAsia="仿宋" w:cs="仿宋"/>
          <w:color w:val="000000"/>
          <w:sz w:val="24"/>
        </w:rPr>
      </w:pPr>
      <w:r>
        <w:rPr>
          <w:rFonts w:hint="eastAsia" w:ascii="仿宋" w:hAnsi="仿宋" w:eastAsia="仿宋" w:cs="仿宋"/>
          <w:color w:val="000000"/>
          <w:sz w:val="24"/>
        </w:rPr>
        <w:t>6.1乙方若不能按甲方需求在规定期限送至指定现场存货地点，乙方将承担因此造成的一切损失，并且甲方向乙方收取逾期运达物资总额（含增值税）每日0.5％的违约金，若逾期三天以上，则甲方有权因乙方违约而单方解除本合同。（产品实际运送到合同指定地点的时间为乙方的实际交货时间，并以此来确定是否构成逾期交货）；若因乙方逾期供货，导致甲方所负责供应的项目工期延误，甲方因此而遭受损失的，则甲方可按照批次货价的20%收取违约金，同时可要求乙方赔偿因工程延期而使甲方遭受的全部损失。</w:t>
      </w:r>
      <w:r>
        <w:rPr>
          <w:rFonts w:hint="eastAsia" w:ascii="仿宋" w:hAnsi="仿宋" w:eastAsia="仿宋" w:cs="仿宋"/>
          <w:sz w:val="24"/>
        </w:rPr>
        <w:t>因乙方延迟供货3天以上，则甲方可另行选择第三方完成供应，乙方除须承担违约责任外，还需承担甲方因选择第三方而额外多支付的费用。</w:t>
      </w:r>
      <w:r>
        <w:rPr>
          <w:rFonts w:hint="eastAsia" w:ascii="仿宋" w:hAnsi="仿宋" w:eastAsia="仿宋" w:cs="仿宋"/>
          <w:color w:val="000000"/>
          <w:sz w:val="24"/>
        </w:rPr>
        <w:t>若出现此类情况两次，则甲方可单方解除合同。乙方不得因甲方未按期付款而停止供应，如因停止供应造成的损失参照乙方逾期供应违约责任执行。</w:t>
      </w:r>
    </w:p>
    <w:p w14:paraId="3633AACA">
      <w:pPr>
        <w:spacing w:line="560" w:lineRule="exact"/>
      </w:pPr>
      <w:r>
        <w:rPr>
          <w:rFonts w:hint="eastAsia" w:ascii="仿宋" w:hAnsi="仿宋" w:eastAsia="仿宋" w:cs="仿宋"/>
          <w:sz w:val="24"/>
          <w:szCs w:val="24"/>
        </w:rPr>
        <w:t>6.2 乙方若不能按甲方需求提供安装调试及巡检指导或后期运营过程技术支持不到位（产品出现问题3小时内未能到现场，则属于提供安装调试及巡检指导或后期运营过程技术支持不到位），甲方向乙方收取每次500元的违约金，且乙方必须负责按甲方需求完成安装调试及巡检指导或后期运营过程技术支持，若因此类情况导致工期出现延误的，导致甲方遭受损失，甲方有权要求乙方赔偿由此遭受的全部损失，并按照当批次货价20%支付违约金</w:t>
      </w:r>
      <w:r>
        <w:rPr>
          <w:rFonts w:hint="eastAsia" w:ascii="仿宋" w:hAnsi="仿宋" w:eastAsia="仿宋" w:cs="仿宋"/>
          <w:color w:val="000000"/>
          <w:sz w:val="24"/>
        </w:rPr>
        <w:t>。</w:t>
      </w:r>
      <w:r>
        <w:rPr>
          <w:rFonts w:hint="eastAsia" w:ascii="仿宋" w:hAnsi="仿宋" w:eastAsia="仿宋" w:cs="仿宋"/>
          <w:sz w:val="24"/>
        </w:rPr>
        <w:t>因乙方延迟提供技术支持3天以上</w:t>
      </w:r>
      <w:r>
        <w:rPr>
          <w:rFonts w:hint="eastAsia" w:ascii="仿宋" w:hAnsi="仿宋" w:eastAsia="仿宋" w:cs="仿宋"/>
          <w:sz w:val="24"/>
          <w:szCs w:val="24"/>
        </w:rPr>
        <w:t>，</w:t>
      </w:r>
      <w:r>
        <w:rPr>
          <w:rFonts w:hint="eastAsia" w:ascii="仿宋" w:hAnsi="仿宋" w:eastAsia="仿宋" w:cs="仿宋"/>
          <w:sz w:val="24"/>
        </w:rPr>
        <w:t>则甲方可另行选择第三方完成供应，乙方除须承担违约责任外，还需承担甲方因选择第三方而额外多支付的费用，</w:t>
      </w:r>
      <w:r>
        <w:rPr>
          <w:rFonts w:hint="eastAsia" w:ascii="仿宋" w:hAnsi="仿宋" w:eastAsia="仿宋" w:cs="仿宋"/>
          <w:sz w:val="24"/>
          <w:szCs w:val="24"/>
        </w:rPr>
        <w:t>若出现此类情况两次，则甲方可单方解除合同。</w:t>
      </w:r>
    </w:p>
    <w:p w14:paraId="5CD8F4F3">
      <w:pPr>
        <w:spacing w:line="510" w:lineRule="exact"/>
        <w:rPr>
          <w:rFonts w:hint="eastAsia" w:ascii="仿宋" w:hAnsi="仿宋" w:eastAsia="仿宋" w:cs="仿宋"/>
          <w:color w:val="000000"/>
          <w:sz w:val="24"/>
        </w:rPr>
      </w:pPr>
      <w:r>
        <w:rPr>
          <w:rFonts w:hint="eastAsia" w:ascii="仿宋" w:hAnsi="仿宋" w:eastAsia="仿宋" w:cs="仿宋"/>
          <w:color w:val="000000"/>
          <w:sz w:val="24"/>
        </w:rPr>
        <w:t>6.3本合同所采购与供应的物资，在进场验收过程中出现品牌规格数量不符、单据丢失、物资质量不达标等问题，甲方可按下列条款中的一条或多条向乙方主张权利：</w:t>
      </w:r>
    </w:p>
    <w:p w14:paraId="65BF714F">
      <w:pPr>
        <w:spacing w:line="51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甲方有权拒收物资，乙方应把被拒收物资的预付货款返还甲方。</w:t>
      </w:r>
    </w:p>
    <w:p w14:paraId="6ADC87A3">
      <w:pPr>
        <w:spacing w:line="51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（2）要求乙方承担退货过程中发生的一切损失和费用，包括利息、银行费用、运输和保险费、检验费、仓储和装</w:t>
      </w:r>
      <w:r>
        <w:rPr>
          <w:rFonts w:hint="eastAsia" w:ascii="仿宋" w:hAnsi="仿宋" w:eastAsia="仿宋" w:cs="仿宋"/>
          <w:color w:val="000000"/>
          <w:sz w:val="24"/>
          <w:lang w:val="en-US" w:eastAsia="zh-CN"/>
        </w:rPr>
        <w:t>卸</w:t>
      </w:r>
      <w:r>
        <w:rPr>
          <w:rFonts w:hint="eastAsia" w:ascii="仿宋" w:hAnsi="仿宋" w:eastAsia="仿宋" w:cs="仿宋"/>
          <w:color w:val="000000"/>
          <w:sz w:val="24"/>
        </w:rPr>
        <w:t>费以及为保管和保护退货货物所需的其它费用。</w:t>
      </w:r>
    </w:p>
    <w:p w14:paraId="02DDC812">
      <w:pPr>
        <w:spacing w:line="520" w:lineRule="exact"/>
        <w:ind w:firstLine="480" w:firstLineChars="200"/>
        <w:rPr>
          <w:rFonts w:hint="eastAsia" w:ascii="仿宋" w:hAnsi="仿宋" w:eastAsia="仿宋" w:cs="仿宋"/>
          <w:sz w:val="24"/>
        </w:rPr>
      </w:pPr>
      <w:r>
        <w:rPr>
          <w:rFonts w:hint="eastAsia" w:ascii="仿宋" w:hAnsi="仿宋" w:eastAsia="仿宋" w:cs="仿宋"/>
          <w:sz w:val="24"/>
        </w:rPr>
        <w:t>（3）若乙方出现单据丢失等情况，则甲方对乙方每次处以500元人民币的违约金，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14:paraId="2D7B0D8F">
      <w:pPr>
        <w:spacing w:line="520" w:lineRule="exact"/>
        <w:ind w:firstLine="480" w:firstLineChars="200"/>
        <w:rPr>
          <w:rFonts w:hint="eastAsia" w:ascii="仿宋" w:hAnsi="仿宋" w:eastAsia="仿宋" w:cs="仿宋"/>
          <w:sz w:val="24"/>
        </w:rPr>
      </w:pPr>
      <w:r>
        <w:rPr>
          <w:rFonts w:hint="eastAsia" w:ascii="仿宋" w:hAnsi="仿宋" w:eastAsia="仿宋" w:cs="仿宋"/>
          <w:sz w:val="24"/>
        </w:rPr>
        <w:t>（4）若出现规格数量不符的情况，</w:t>
      </w:r>
      <w:r>
        <w:rPr>
          <w:rFonts w:hint="eastAsia" w:ascii="仿宋" w:hAnsi="仿宋" w:eastAsia="仿宋" w:cs="仿宋"/>
          <w:color w:val="000000" w:themeColor="text1"/>
          <w:sz w:val="24"/>
          <w14:textFill>
            <w14:solidFill>
              <w14:schemeClr w14:val="tx1"/>
            </w14:solidFill>
          </w14:textFill>
        </w:rPr>
        <w:t>甲方有权要求乙方在3日内补足所要求规格或数量的物资，同时</w:t>
      </w:r>
      <w:r>
        <w:rPr>
          <w:rFonts w:hint="eastAsia" w:ascii="仿宋" w:hAnsi="仿宋" w:eastAsia="仿宋" w:cs="仿宋"/>
          <w:sz w:val="24"/>
        </w:rPr>
        <w:t>甲方对乙方每次处以1000元人民币的违约金；因规格数量不符且处理时间超过3天，则甲方可另行选择第三方完成供应，乙方除须承担违约责任外，还需承担甲方因选择第三方而额外多支付的费用。若因此类情况导致工期出现延误的，导致甲方遭受损失，甲方有权要求乙方按照当批次货价20%支付违约金，并赔偿由此遭受的全部损失；若出现此类情况两次，则甲方可单方解除合同。</w:t>
      </w:r>
    </w:p>
    <w:p w14:paraId="7D44DEBF">
      <w:pPr>
        <w:widowControl/>
        <w:spacing w:line="500" w:lineRule="exact"/>
        <w:ind w:firstLine="480" w:firstLineChars="200"/>
        <w:rPr>
          <w:rFonts w:hint="eastAsia" w:ascii="仿宋" w:hAnsi="仿宋" w:eastAsia="仿宋" w:cs="仿宋"/>
          <w:sz w:val="24"/>
        </w:rPr>
      </w:pPr>
      <w:r>
        <w:rPr>
          <w:rFonts w:hint="eastAsia" w:ascii="仿宋" w:hAnsi="仿宋" w:eastAsia="仿宋" w:cs="仿宋"/>
          <w:sz w:val="24"/>
        </w:rPr>
        <w:t>（5）若出现质量不合格或随机抽检不合格的产品，甲方有权邀请具有检测资质的检测机构进行全面检验，并出具检验证书，若证实乙方所供物资不符合要求，甲方可要求乙方按照如下规则进行处罚：乙方第一次出现质量问题按照500元/车次的标准向甲方支付违约金，乙方第二次出现质量问题按照1000元/车次的标准向甲方支付违约金；若因此类情况导致工期出现延误的，导致甲方遭受损失，甲方有权要求乙方按照当批次货价20%支付违约金，并赔偿由此遭受的全部损失；若出现质量问题两次，则甲方可单方解除合同；</w:t>
      </w:r>
    </w:p>
    <w:p w14:paraId="46F0B587">
      <w:pPr>
        <w:widowControl/>
        <w:spacing w:line="500" w:lineRule="exact"/>
        <w:ind w:firstLine="480" w:firstLineChars="200"/>
        <w:rPr>
          <w:rFonts w:hint="eastAsia" w:ascii="仿宋" w:hAnsi="仿宋" w:eastAsia="仿宋" w:cs="仿宋"/>
          <w:sz w:val="24"/>
        </w:rPr>
      </w:pPr>
      <w:r>
        <w:rPr>
          <w:rFonts w:hint="eastAsia" w:ascii="仿宋" w:hAnsi="仿宋" w:eastAsia="仿宋" w:cs="仿宋"/>
          <w:sz w:val="24"/>
        </w:rPr>
        <w:t>另外，乙方需在事情发生后3天内更换有缺陷的物资，以达到合同约定的质量和性能，若不能及时更换，则乙方需按照500元/天的标准支付违约金，且乙方承担一切费用和风险，同时相应延长被更换物资的质量保证期，因质量不合格，且处理时间超过3天，则甲方可另行选择第三方完成供应，乙方除须承担违约责任外，还需承担甲方因选择第三方而额外多支付的费用。若拖延调换时间超过3天或者出现拖延更换货物的情况两次以上的，乙方可以据此解除合同。</w:t>
      </w:r>
    </w:p>
    <w:p w14:paraId="7869F557">
      <w:pPr>
        <w:widowControl/>
        <w:spacing w:line="500" w:lineRule="exact"/>
        <w:ind w:firstLine="480" w:firstLineChars="200"/>
        <w:rPr>
          <w:rFonts w:hint="eastAsia" w:ascii="仿宋" w:hAnsi="仿宋" w:eastAsia="仿宋" w:cs="仿宋"/>
          <w:sz w:val="24"/>
        </w:rPr>
      </w:pPr>
      <w:r>
        <w:rPr>
          <w:rFonts w:hint="eastAsia" w:ascii="仿宋" w:hAnsi="仿宋" w:eastAsia="仿宋" w:cs="仿宋"/>
          <w:sz w:val="24"/>
        </w:rPr>
        <w:t>6.4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乙方应予理解，甲方不因此承担逾期付款违约责任，且甲方不承担逾期付款的利息。</w:t>
      </w:r>
    </w:p>
    <w:p w14:paraId="3DFFDEA8">
      <w:pPr>
        <w:widowControl/>
        <w:spacing w:line="500" w:lineRule="exact"/>
        <w:rPr>
          <w:rFonts w:hint="eastAsia" w:ascii="仿宋" w:hAnsi="仿宋" w:eastAsia="仿宋" w:cs="仿宋"/>
          <w:b w:val="0"/>
          <w:bCs w:val="0"/>
          <w:color w:val="000000" w:themeColor="text1"/>
          <w:sz w:val="24"/>
          <w:szCs w:val="22"/>
          <w14:textFill>
            <w14:solidFill>
              <w14:schemeClr w14:val="tx1"/>
            </w14:solidFill>
          </w14:textFill>
        </w:rPr>
      </w:pPr>
      <w:r>
        <w:rPr>
          <w:rFonts w:hint="eastAsia" w:ascii="仿宋" w:hAnsi="仿宋" w:eastAsia="仿宋" w:cs="仿宋"/>
          <w:sz w:val="24"/>
        </w:rPr>
        <w:t>6.5在产品质保期内，如</w:t>
      </w:r>
      <w:r>
        <w:rPr>
          <w:rFonts w:hint="eastAsia" w:ascii="仿宋" w:hAnsi="仿宋" w:eastAsia="仿宋" w:cs="仿宋"/>
          <w:b w:val="0"/>
          <w:bCs w:val="0"/>
          <w:color w:val="000000" w:themeColor="text1"/>
          <w:sz w:val="24"/>
          <w:szCs w:val="22"/>
          <w14:textFill>
            <w14:solidFill>
              <w14:schemeClr w14:val="tx1"/>
            </w14:solidFill>
          </w14:textFill>
        </w:rPr>
        <w:t>果产品出现问题，在甲方将问题反馈至乙方后，乙方需在收到甲方反馈后三日内完成问题回复、产品维修、产品更换并确保上述问题得以解决，如果出现逾期处理的情况，则按照每天1000元或者按照质保金5%比例（按照二者孰高的原则进行确定）对质保金进行扣除。若乙方逾期处理的时间超过三天，则甲方可另行选择第三方进行处理，乙方除须承担违约责任外，还需承担甲方因选择第三方而额外多支付的费用。</w:t>
      </w:r>
    </w:p>
    <w:p w14:paraId="514E69EB">
      <w:pPr>
        <w:spacing w:line="520" w:lineRule="exact"/>
      </w:pPr>
      <w:r>
        <w:rPr>
          <w:rFonts w:hint="eastAsia" w:ascii="仿宋" w:hAnsi="仿宋" w:eastAsia="仿宋" w:cs="仿宋"/>
          <w:color w:val="000000"/>
          <w:sz w:val="24"/>
        </w:rPr>
        <w:t>6.6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7AED806F">
      <w:pPr>
        <w:spacing w:line="520" w:lineRule="exact"/>
        <w:rPr>
          <w:rFonts w:hint="eastAsia" w:ascii="仿宋" w:hAnsi="仿宋" w:eastAsia="仿宋" w:cs="仿宋"/>
          <w:color w:val="000000"/>
          <w:sz w:val="24"/>
        </w:rPr>
      </w:pPr>
      <w:r>
        <w:rPr>
          <w:rFonts w:hint="eastAsia" w:ascii="仿宋" w:hAnsi="仿宋" w:eastAsia="仿宋" w:cs="仿宋"/>
          <w:color w:val="000000"/>
          <w:sz w:val="24"/>
        </w:rPr>
        <w:t>6.7若因项目业主原因，导致材料无法进行供应且甲方未正式通知乙方开始合同执行（甲方向乙方正式下订单）前，则甲方据此可单方面解除合同，甲方不向乙方承担任何违约责任、赔偿责任，且不支付任何费用。已经支付相关费用的，乙方应全部退还。</w:t>
      </w:r>
    </w:p>
    <w:p w14:paraId="4F458445">
      <w:pPr>
        <w:numPr>
          <w:ilvl w:val="0"/>
          <w:numId w:val="3"/>
        </w:numPr>
        <w:spacing w:line="520" w:lineRule="exact"/>
        <w:rPr>
          <w:rFonts w:hint="eastAsia" w:ascii="仿宋" w:hAnsi="仿宋" w:eastAsia="仿宋" w:cs="仿宋"/>
          <w:b/>
          <w:color w:val="000000"/>
          <w:sz w:val="24"/>
        </w:rPr>
      </w:pPr>
      <w:r>
        <w:rPr>
          <w:rFonts w:hint="eastAsia" w:ascii="仿宋" w:hAnsi="仿宋" w:eastAsia="仿宋" w:cs="仿宋"/>
          <w:b/>
          <w:color w:val="000000"/>
          <w:sz w:val="24"/>
        </w:rPr>
        <w:t>争议解决</w:t>
      </w:r>
    </w:p>
    <w:p w14:paraId="091D9000">
      <w:pPr>
        <w:spacing w:line="520" w:lineRule="exact"/>
        <w:rPr>
          <w:rFonts w:hint="eastAsia" w:ascii="仿宋" w:hAnsi="仿宋" w:eastAsia="仿宋" w:cs="仿宋"/>
          <w:color w:val="000000"/>
          <w:sz w:val="24"/>
        </w:rPr>
      </w:pPr>
      <w:r>
        <w:rPr>
          <w:rFonts w:hint="eastAsia" w:ascii="仿宋" w:hAnsi="仿宋" w:eastAsia="仿宋" w:cs="仿宋"/>
          <w:color w:val="000000"/>
          <w:sz w:val="24"/>
        </w:rPr>
        <w:t>7.1 因本合同（协议）引起的一切争议， 由双方当事人协商解决；协商不成，双方将争议提交甲方所在地人民法院解决。</w:t>
      </w:r>
    </w:p>
    <w:p w14:paraId="5AE60DE4">
      <w:pPr>
        <w:spacing w:line="520" w:lineRule="exact"/>
        <w:rPr>
          <w:rFonts w:hint="eastAsia" w:ascii="仿宋" w:hAnsi="仿宋" w:eastAsia="仿宋" w:cs="仿宋"/>
          <w:b/>
          <w:color w:val="000000"/>
          <w:sz w:val="24"/>
        </w:rPr>
      </w:pPr>
      <w:r>
        <w:rPr>
          <w:rFonts w:hint="eastAsia" w:ascii="仿宋" w:hAnsi="仿宋" w:eastAsia="仿宋" w:cs="仿宋"/>
          <w:b/>
          <w:color w:val="000000"/>
          <w:sz w:val="24"/>
        </w:rPr>
        <w:t>8. 通知及送达</w:t>
      </w:r>
    </w:p>
    <w:p w14:paraId="15221BA8">
      <w:pPr>
        <w:spacing w:line="520" w:lineRule="exact"/>
        <w:rPr>
          <w:rFonts w:hint="eastAsia" w:ascii="仿宋" w:hAnsi="仿宋" w:eastAsia="仿宋" w:cs="仿宋"/>
          <w:color w:val="000000"/>
          <w:sz w:val="24"/>
        </w:rPr>
      </w:pPr>
      <w:r>
        <w:rPr>
          <w:rFonts w:hint="eastAsia" w:ascii="仿宋" w:hAnsi="仿宋" w:eastAsia="仿宋" w:cs="仿宋"/>
          <w:color w:val="000000"/>
          <w:sz w:val="24"/>
        </w:rPr>
        <w:t>8.1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745A621C">
      <w:pPr>
        <w:spacing w:line="520" w:lineRule="exact"/>
        <w:rPr>
          <w:rFonts w:hint="eastAsia" w:ascii="仿宋" w:hAnsi="仿宋" w:eastAsia="仿宋" w:cs="仿宋"/>
          <w:color w:val="000000"/>
          <w:sz w:val="24"/>
        </w:rPr>
      </w:pPr>
      <w:r>
        <w:rPr>
          <w:rFonts w:hint="eastAsia" w:ascii="仿宋" w:hAnsi="仿宋" w:eastAsia="仿宋" w:cs="仿宋"/>
          <w:color w:val="000000"/>
          <w:sz w:val="24"/>
        </w:rPr>
        <w:t>甲方</w:t>
      </w:r>
    </w:p>
    <w:p w14:paraId="535A7AFA">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6ECD0DA6">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02A1E171">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76A97702">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联系地址：             </w:t>
      </w:r>
    </w:p>
    <w:p w14:paraId="10F3859F">
      <w:pPr>
        <w:spacing w:line="520" w:lineRule="exact"/>
        <w:rPr>
          <w:rFonts w:hint="eastAsia" w:ascii="仿宋" w:hAnsi="仿宋" w:eastAsia="仿宋" w:cs="仿宋"/>
          <w:color w:val="000000"/>
          <w:sz w:val="24"/>
        </w:rPr>
      </w:pPr>
      <w:r>
        <w:rPr>
          <w:rFonts w:hint="eastAsia" w:ascii="仿宋" w:hAnsi="仿宋" w:eastAsia="仿宋" w:cs="仿宋"/>
          <w:color w:val="000000"/>
          <w:sz w:val="24"/>
        </w:rPr>
        <w:t>乙方</w:t>
      </w:r>
    </w:p>
    <w:p w14:paraId="1D30EC8D">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联系人：                 </w:t>
      </w:r>
    </w:p>
    <w:p w14:paraId="38AB2DD1">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联系电话：               </w:t>
      </w:r>
    </w:p>
    <w:p w14:paraId="45D3E7EB">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联系邮箱：                </w:t>
      </w:r>
    </w:p>
    <w:p w14:paraId="3770B0AF">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联系地址： </w:t>
      </w:r>
    </w:p>
    <w:p w14:paraId="749F377D">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8.2 任何一方变更本合同所示的项目联系人及联系方式，应提前3日书面通知对方。否则对方有权依据本合同载明的联络信息进行联系，且视为送达。 </w:t>
      </w:r>
    </w:p>
    <w:p w14:paraId="180C325F">
      <w:pPr>
        <w:spacing w:line="520" w:lineRule="exact"/>
        <w:rPr>
          <w:rFonts w:hint="eastAsia" w:ascii="仿宋" w:hAnsi="仿宋" w:eastAsia="仿宋" w:cs="仿宋"/>
          <w:b/>
          <w:color w:val="000000"/>
          <w:sz w:val="24"/>
        </w:rPr>
      </w:pPr>
      <w:r>
        <w:rPr>
          <w:rFonts w:hint="eastAsia" w:ascii="仿宋" w:hAnsi="仿宋" w:eastAsia="仿宋" w:cs="仿宋"/>
          <w:b/>
          <w:color w:val="000000"/>
          <w:sz w:val="24"/>
        </w:rPr>
        <w:t>9. 其他约定事项</w:t>
      </w:r>
    </w:p>
    <w:p w14:paraId="2C360E22">
      <w:pPr>
        <w:spacing w:line="520" w:lineRule="exact"/>
        <w:rPr>
          <w:rFonts w:hint="eastAsia" w:ascii="仿宋" w:hAnsi="仿宋" w:eastAsia="仿宋" w:cs="仿宋"/>
          <w:color w:val="000000"/>
          <w:sz w:val="24"/>
        </w:rPr>
      </w:pPr>
      <w:r>
        <w:rPr>
          <w:rFonts w:hint="eastAsia" w:ascii="仿宋" w:hAnsi="仿宋" w:eastAsia="仿宋" w:cs="仿宋"/>
          <w:color w:val="000000"/>
          <w:sz w:val="24"/>
        </w:rPr>
        <w:t xml:space="preserve">9.1双方往来均以书面形式（指合同书、函件、传真）为准。 </w:t>
      </w:r>
    </w:p>
    <w:p w14:paraId="4FA57823">
      <w:pPr>
        <w:spacing w:line="520" w:lineRule="exact"/>
        <w:rPr>
          <w:rFonts w:hint="eastAsia" w:ascii="仿宋" w:hAnsi="仿宋" w:eastAsia="仿宋" w:cs="仿宋"/>
          <w:color w:val="000000"/>
          <w:sz w:val="24"/>
        </w:rPr>
      </w:pPr>
      <w:r>
        <w:rPr>
          <w:rFonts w:hint="eastAsia" w:ascii="仿宋" w:hAnsi="仿宋" w:eastAsia="仿宋" w:cs="仿宋"/>
          <w:color w:val="000000"/>
          <w:sz w:val="24"/>
        </w:rPr>
        <w:t>9.2询价文件与报价文件为本合同的组成部分，本合同中未有约定而双方在招投标文件及中标文件中达成一致之事项，按招投标文件及中标文件执行。同一事项招投标文件条款及中标文件与本合同约定内容不一致的，以本合同约定为准。</w:t>
      </w:r>
    </w:p>
    <w:p w14:paraId="5E2CCAA2">
      <w:pPr>
        <w:spacing w:line="520" w:lineRule="exact"/>
        <w:rPr>
          <w:rFonts w:hint="eastAsia" w:ascii="仿宋" w:hAnsi="仿宋" w:eastAsia="仿宋" w:cs="仿宋"/>
          <w:color w:val="000000"/>
          <w:sz w:val="24"/>
        </w:rPr>
      </w:pPr>
      <w:r>
        <w:rPr>
          <w:rFonts w:hint="eastAsia" w:ascii="仿宋" w:hAnsi="仿宋" w:eastAsia="仿宋" w:cs="仿宋"/>
          <w:color w:val="000000"/>
          <w:sz w:val="24"/>
        </w:rPr>
        <w:t>9.3本合同经双方加盖公章后生效，有效期至合同履约完毕货、款两清后自动终止 ；本合同未尽事宜，由甲乙双方另行协商并签订补充协议。本合同一式肆份，甲方贰份，乙方贰份，均具有同等法律效力。</w:t>
      </w:r>
    </w:p>
    <w:p w14:paraId="4440E527">
      <w:pPr>
        <w:pStyle w:val="9"/>
        <w:tabs>
          <w:tab w:val="left" w:pos="992"/>
        </w:tabs>
        <w:spacing w:line="520" w:lineRule="exact"/>
        <w:rPr>
          <w:rFonts w:hint="eastAsia" w:ascii="仿宋" w:hAnsi="仿宋" w:eastAsia="仿宋" w:cs="仿宋"/>
          <w:color w:val="000000"/>
          <w:sz w:val="24"/>
          <w:szCs w:val="24"/>
        </w:rPr>
      </w:pPr>
    </w:p>
    <w:p w14:paraId="4103E5F8">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甲方（盖章）：                       乙方（盖章）：                           </w:t>
      </w:r>
    </w:p>
    <w:p w14:paraId="3DE0F3F2">
      <w:pPr>
        <w:pStyle w:val="9"/>
        <w:tabs>
          <w:tab w:val="left" w:pos="992"/>
        </w:tabs>
        <w:spacing w:line="520" w:lineRule="exact"/>
        <w:rPr>
          <w:rFonts w:hint="eastAsia" w:ascii="仿宋" w:hAnsi="仿宋" w:eastAsia="仿宋" w:cs="仿宋"/>
          <w:color w:val="000000"/>
          <w:sz w:val="24"/>
          <w:szCs w:val="24"/>
        </w:rPr>
      </w:pPr>
    </w:p>
    <w:p w14:paraId="1729B7A8">
      <w:pPr>
        <w:pStyle w:val="9"/>
        <w:tabs>
          <w:tab w:val="left" w:pos="992"/>
        </w:tabs>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签署日期：</w:t>
      </w:r>
      <w:r>
        <w:rPr>
          <w:rFonts w:hint="eastAsia" w:ascii="仿宋" w:hAnsi="仿宋" w:eastAsia="仿宋" w:cs="仿宋"/>
          <w:color w:val="000000"/>
          <w:sz w:val="24"/>
          <w:szCs w:val="24"/>
          <w:u w:val="single"/>
        </w:rPr>
        <w:t>202</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462E7DF0">
      <w:pPr>
        <w:pStyle w:val="5"/>
        <w:ind w:firstLine="0"/>
        <w:rPr>
          <w:rFonts w:hint="eastAsia" w:ascii="仿宋" w:hAnsi="仿宋" w:eastAsia="仿宋"/>
          <w:sz w:val="24"/>
          <w:szCs w:val="24"/>
        </w:rPr>
        <w:sectPr>
          <w:footerReference r:id="rId3" w:type="default"/>
          <w:pgSz w:w="11906" w:h="16838"/>
          <w:pgMar w:top="1440" w:right="1800" w:bottom="1247" w:left="1800" w:header="851" w:footer="992" w:gutter="0"/>
          <w:cols w:space="0" w:num="1"/>
          <w:docGrid w:type="lines" w:linePitch="312" w:charSpace="0"/>
        </w:sectPr>
      </w:pPr>
    </w:p>
    <w:p w14:paraId="4D1E744B">
      <w:pPr>
        <w:pStyle w:val="5"/>
        <w:ind w:firstLine="0"/>
        <w:rPr>
          <w:rFonts w:hint="eastAsia" w:ascii="仿宋" w:hAnsi="仿宋" w:eastAsia="仿宋"/>
          <w:sz w:val="24"/>
          <w:szCs w:val="24"/>
        </w:rPr>
      </w:pPr>
      <w:r>
        <w:rPr>
          <w:rFonts w:hint="eastAsia" w:ascii="仿宋" w:hAnsi="仿宋" w:eastAsia="仿宋"/>
          <w:sz w:val="24"/>
          <w:szCs w:val="24"/>
        </w:rPr>
        <w:t>附件一：</w:t>
      </w:r>
    </w:p>
    <w:p w14:paraId="05BCF329">
      <w:pPr>
        <w:spacing w:line="440" w:lineRule="exact"/>
        <w:jc w:val="center"/>
        <w:rPr>
          <w:rFonts w:hint="eastAsia" w:ascii="仿宋" w:hAnsi="仿宋" w:eastAsia="仿宋"/>
          <w:b/>
          <w:bCs/>
          <w:sz w:val="44"/>
          <w:szCs w:val="44"/>
        </w:rPr>
      </w:pPr>
      <w:r>
        <w:rPr>
          <w:rFonts w:hint="eastAsia" w:ascii="仿宋" w:hAnsi="仿宋" w:eastAsia="仿宋"/>
          <w:b/>
          <w:bCs/>
          <w:sz w:val="44"/>
          <w:szCs w:val="44"/>
        </w:rPr>
        <w:t>廉洁协议</w:t>
      </w:r>
    </w:p>
    <w:p w14:paraId="459CCCAA">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2EF2B110">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甲方：【海南洋浦陆海能源发展有限公司】                     </w:t>
      </w:r>
    </w:p>
    <w:p w14:paraId="082C287B">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14:paraId="691ADBC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025A275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14:paraId="6B1DF66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14:paraId="1A45DDEE">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14:paraId="55DC3B5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14:paraId="0028D0D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14:paraId="03C84D3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14:paraId="08B81B69">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14:paraId="3977C74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14:paraId="58B8687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14:paraId="0DAC1B2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14:paraId="1B965CE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14:paraId="09DB648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14:paraId="3BEA455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14:paraId="7DCC954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14:paraId="6EF2AC6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14:paraId="50B488A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14:paraId="25C04F13">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14:paraId="5D3A89F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14:paraId="2F954BC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42AE383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14:paraId="560A3A9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14:paraId="6EB2FFE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14:paraId="6F583F05">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10A934D3">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14:paraId="5A5D7F2B">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6FDD3A0F">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14:paraId="53704457">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6ACAFA78">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14:paraId="5FFAC288">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0D725148">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14:paraId="290C034C">
      <w:pPr>
        <w:rPr>
          <w:rFonts w:hint="eastAsia" w:ascii="仿宋" w:hAnsi="仿宋" w:eastAsia="仿宋" w:cs="仿宋"/>
          <w:sz w:val="24"/>
        </w:rPr>
      </w:pPr>
      <w:r>
        <w:rPr>
          <w:rFonts w:hint="eastAsia" w:ascii="仿宋" w:hAnsi="仿宋" w:eastAsia="仿宋" w:cs="仿宋"/>
          <w:sz w:val="24"/>
        </w:rPr>
        <w:br w:type="page"/>
      </w:r>
    </w:p>
    <w:p w14:paraId="7CFE029B">
      <w:pPr>
        <w:pStyle w:val="5"/>
        <w:ind w:firstLine="0"/>
        <w:rPr>
          <w:rFonts w:hint="eastAsia" w:ascii="仿宋" w:hAnsi="仿宋" w:eastAsia="仿宋"/>
          <w:sz w:val="24"/>
          <w:szCs w:val="24"/>
        </w:rPr>
      </w:pPr>
      <w:r>
        <w:rPr>
          <w:rFonts w:hint="eastAsia" w:ascii="仿宋" w:hAnsi="仿宋" w:eastAsia="仿宋"/>
          <w:sz w:val="24"/>
          <w:szCs w:val="24"/>
        </w:rPr>
        <w:t>附件二：</w:t>
      </w:r>
    </w:p>
    <w:p w14:paraId="769BF156">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《超声波水表技术标准和功能要求》</w:t>
      </w:r>
    </w:p>
    <w:p w14:paraId="68F1B9AF">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1、测量原理：采用超声波时差原理，管体设计为通径或缩径，无机械转动部件,内部无运动磨损，极小的压力损失；</w:t>
      </w:r>
    </w:p>
    <w:p w14:paraId="26A3DEE6">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2、测量介质：自来水</w:t>
      </w:r>
    </w:p>
    <w:p w14:paraId="6B588B0B">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3、采用管段与通讯终端一体式结构，及两声道或以上；</w:t>
      </w:r>
    </w:p>
    <w:p w14:paraId="75EC72F4">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4、管段长度：按普通水表规格尺寸设计，水表整体材质为304不锈钢或铜；</w:t>
      </w:r>
    </w:p>
    <w:p w14:paraId="6403B1C8">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5、数据采集周期：正常工作状态时至少为1次/秒；</w:t>
      </w:r>
    </w:p>
    <w:p w14:paraId="14D0F75F">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6、水表的瞬间流量和累积流量的采集时间间隔需支持在平台端修改；</w:t>
      </w:r>
    </w:p>
    <w:p w14:paraId="306794FF">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7、适用温度：环境温度-5℃~+55℃(多功能液晶显示器-5℃~65℃)；</w:t>
      </w:r>
    </w:p>
    <w:p w14:paraId="64D244E5">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8、安装环境：户外；</w:t>
      </w:r>
    </w:p>
    <w:p w14:paraId="282DE996">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9、准确度等级：2级以上；</w:t>
      </w:r>
    </w:p>
    <w:p w14:paraId="5234C5F0">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10、管段最高承压能力：1.0MPa；</w:t>
      </w:r>
    </w:p>
    <w:p w14:paraId="7F58761D">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11、适用介质流体温度等级：T30；</w:t>
      </w:r>
    </w:p>
    <w:p w14:paraId="2E3ABFB2">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12、电磁兼容性等级：E1 级；</w:t>
      </w:r>
    </w:p>
    <w:p w14:paraId="5E65D980">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13、接口输出：有线/无线M-BUS、RS485、脉冲，可实现连接GPRS或NB-ioT 无线数据远传终端，实现数据无线双向通讯；</w:t>
      </w:r>
    </w:p>
    <w:p w14:paraId="5B59142B">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14、供电方式：采用内置可更换3.6V锂电池供电，采用微功耗器件，定时上传模式，15分钟抄表一次，4小时上传一次，电池工作寿命不低于5年，首次安装调试后5年内电池免费更换；水表有低电量报警信号传至平台；</w:t>
      </w:r>
    </w:p>
    <w:p w14:paraId="538D0C73">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15、防护等级：IP68，远传终端须采用全密闭防水设计，野外长期被水浸泡情况下仍能正常工作；</w:t>
      </w:r>
    </w:p>
    <w:p w14:paraId="06BDD1A6">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16、仪表显示：LCD数字显示，可显示瞬时流量、正向累积流量、反向累积流量、累积流量、报警信号、累计有效运行时间、日期、时钟等；</w:t>
      </w:r>
    </w:p>
    <w:p w14:paraId="40C7A685">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17、LCD数字显示位数：不小于8位；</w:t>
      </w:r>
    </w:p>
    <w:p w14:paraId="41FEDBEE">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18、水表自带数据存储功能：单日用水量、累计流量等数据存储一年以上；</w:t>
      </w:r>
    </w:p>
    <w:p w14:paraId="4216DC7E">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19、静态工作功耗电流：不高于20uA；</w:t>
      </w:r>
    </w:p>
    <w:p w14:paraId="2A3FA35F">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20、ID号预留：8个数字编码，超声波水表内部编码与外部编码一致；</w:t>
      </w:r>
    </w:p>
    <w:p w14:paraId="143D08D8">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21、测量管段模具铸造，保证无泄漏；</w:t>
      </w:r>
    </w:p>
    <w:p w14:paraId="723CB401">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22、出厂检定依据中华人民共和国国家计量检定规程《冷水水表》标准，并附水表检定证书,第三方水表质检合格证书；</w:t>
      </w:r>
    </w:p>
    <w:p w14:paraId="5ACB2F4A">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ar"/>
        </w:rPr>
        <w:t>23、质量保质期:6 年，自产品安装调试完成后起算。</w:t>
      </w:r>
    </w:p>
    <w:p w14:paraId="5D5AE3B9">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24、采集及通讯终端补充要求：</w:t>
      </w:r>
    </w:p>
    <w:p w14:paraId="589AC512">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(1)停电及线路损坏对数据不产生任何影响，也不丢失数据，无线采集终端具有历史数据补报或上报功能。终端与软件平台间的通信采用GPRS 或 NB-I0T网络方式，并可以方便地对终端的参数进行设置；</w:t>
      </w:r>
    </w:p>
    <w:p w14:paraId="40F98037">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(2)无线采集终端具备较强抗屏蔽功能，可在所有水表井内正常通讯，满足现场不同工况要求；</w:t>
      </w:r>
    </w:p>
    <w:p w14:paraId="711B70CD">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(3)维护责任按质保期实施维护，远传模块可以单独（供货、安装及维护）拆卸更换；</w:t>
      </w:r>
    </w:p>
    <w:p w14:paraId="441872FF">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(4)每台无线采集终端厂家需要承担8年的通讯费。</w:t>
      </w:r>
    </w:p>
    <w:p w14:paraId="7844550A">
      <w:pPr>
        <w:pStyle w:val="18"/>
        <w:adjustRightInd w:val="0"/>
        <w:snapToGrid w:val="0"/>
        <w:spacing w:after="0" w:line="360" w:lineRule="auto"/>
        <w:ind w:firstLine="0" w:firstLineChars="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25、服务标准：</w:t>
      </w:r>
    </w:p>
    <w:p w14:paraId="000EA25D">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(1)供货厂家需在使用地两小时范围内建有熟练的售后队伍，保证产品出现问题3小时能到现场；</w:t>
      </w:r>
    </w:p>
    <w:p w14:paraId="0DEE8511">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(2)货到现场需派工程师到现场进行指导安装与调试，并培训相关产品知识；</w:t>
      </w:r>
    </w:p>
    <w:p w14:paraId="2EDD2046">
      <w:pPr>
        <w:pStyle w:val="18"/>
        <w:adjustRightInd w:val="0"/>
        <w:snapToGrid w:val="0"/>
        <w:spacing w:after="0" w:line="360" w:lineRule="auto"/>
        <w:ind w:firstLine="440" w:firstLineChars="200"/>
        <w:rPr>
          <w:rFonts w:hint="eastAsia" w:ascii="仿宋" w:hAnsi="仿宋" w:eastAsia="仿宋" w:cs="仿宋"/>
          <w:color w:val="auto"/>
          <w:sz w:val="22"/>
          <w:szCs w:val="22"/>
          <w:lang w:bidi="zh-CN"/>
        </w:rPr>
      </w:pPr>
      <w:r>
        <w:rPr>
          <w:rFonts w:hint="eastAsia" w:ascii="仿宋" w:hAnsi="仿宋" w:eastAsia="仿宋" w:cs="仿宋"/>
          <w:color w:val="auto"/>
          <w:sz w:val="22"/>
          <w:szCs w:val="22"/>
          <w:lang w:bidi="zh-CN"/>
        </w:rPr>
        <w:t>(3)质保期内出现非人力破坏而导致的产品问题均由供方承担；</w:t>
      </w:r>
    </w:p>
    <w:p w14:paraId="69DDEAFD">
      <w:pPr>
        <w:pStyle w:val="18"/>
        <w:adjustRightInd w:val="0"/>
        <w:snapToGrid w:val="0"/>
        <w:spacing w:after="0" w:line="360" w:lineRule="auto"/>
        <w:ind w:firstLine="440" w:firstLineChars="200"/>
        <w:rPr>
          <w:rFonts w:hint="eastAsia" w:ascii="仿宋" w:hAnsi="仿宋" w:eastAsia="仿宋" w:cs="仿宋"/>
          <w:color w:val="auto"/>
          <w:sz w:val="24"/>
          <w:szCs w:val="24"/>
          <w:lang w:bidi="zh-CN"/>
        </w:rPr>
      </w:pPr>
      <w:r>
        <w:rPr>
          <w:rFonts w:hint="eastAsia" w:ascii="仿宋" w:hAnsi="仿宋" w:eastAsia="仿宋" w:cs="仿宋"/>
          <w:color w:val="auto"/>
          <w:sz w:val="22"/>
          <w:szCs w:val="22"/>
          <w:lang w:bidi="zh-CN"/>
        </w:rPr>
        <w:t>(4)定期巡检，配合水司对产品进行定期理检。保证产品长期稳定的运行。</w:t>
      </w:r>
    </w:p>
    <w:p w14:paraId="490F153C">
      <w:pPr>
        <w:pStyle w:val="3"/>
      </w:pPr>
    </w:p>
    <w:p w14:paraId="034FE98C">
      <w:pPr>
        <w:rPr>
          <w:rFonts w:hint="eastAsia" w:ascii="楷体" w:hAnsi="楷体" w:eastAsia="楷体" w:cs="楷体"/>
          <w:b/>
          <w:bCs/>
          <w:kern w:val="44"/>
          <w:sz w:val="24"/>
          <w:szCs w:val="24"/>
        </w:rPr>
      </w:pPr>
      <w:r>
        <w:rPr>
          <w:rFonts w:ascii="仿宋" w:hAnsi="仿宋" w:eastAsia="仿宋"/>
          <w:sz w:val="24"/>
          <w:szCs w:val="24"/>
        </w:rPr>
        <w:br w:type="page"/>
      </w:r>
    </w:p>
    <w:p w14:paraId="19745141">
      <w:pPr>
        <w:pStyle w:val="28"/>
        <w:numPr>
          <w:ilvl w:val="0"/>
          <w:numId w:val="1"/>
        </w:numPr>
        <w:rPr>
          <w:rFonts w:hint="eastAsia" w:ascii="楷体" w:hAnsi="楷体" w:eastAsia="楷体" w:cs="楷体"/>
          <w:b/>
          <w:bCs w:val="0"/>
          <w:lang w:val="en-US" w:eastAsia="zh-CN"/>
        </w:rPr>
      </w:pPr>
      <w:r>
        <w:rPr>
          <w:rFonts w:hint="eastAsia" w:ascii="楷体" w:hAnsi="楷体" w:eastAsia="楷体" w:cs="楷体"/>
          <w:b/>
          <w:bCs w:val="0"/>
          <w:lang w:val="en-US" w:eastAsia="zh-CN"/>
        </w:rPr>
        <w:t>报价文件（格式）</w:t>
      </w:r>
    </w:p>
    <w:p w14:paraId="22312FCF">
      <w:pPr>
        <w:pStyle w:val="29"/>
        <w:spacing w:before="156" w:beforeLines="50" w:line="360" w:lineRule="auto"/>
        <w:ind w:firstLine="0" w:firstLineChars="0"/>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一、报价表</w:t>
      </w:r>
    </w:p>
    <w:p w14:paraId="5660F63B">
      <w:pPr>
        <w:pStyle w:val="29"/>
        <w:spacing w:before="156" w:beforeLines="50"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1、项目名称；儋州市光村、木棠、峨蔓一体化供水工程（三标段）超声波水表</w:t>
      </w:r>
    </w:p>
    <w:p w14:paraId="547E4C1B">
      <w:pPr>
        <w:pStyle w:val="29"/>
        <w:spacing w:line="400" w:lineRule="exact"/>
        <w:ind w:firstLine="0" w:firstLineChars="0"/>
        <w:rPr>
          <w:rFonts w:hint="eastAsia" w:ascii="楷体" w:hAnsi="楷体" w:eastAsia="楷体" w:cs="楷体"/>
          <w:sz w:val="24"/>
          <w:szCs w:val="24"/>
        </w:rPr>
      </w:pPr>
      <w:r>
        <w:rPr>
          <w:rFonts w:hint="eastAsia" w:ascii="仿宋" w:hAnsi="仿宋" w:eastAsia="仿宋" w:cs="仿宋"/>
          <w:sz w:val="24"/>
          <w:szCs w:val="24"/>
          <w:lang w:bidi="zh-CN"/>
        </w:rPr>
        <w:t>2、</w:t>
      </w:r>
      <w:r>
        <w:rPr>
          <w:rFonts w:hint="eastAsia" w:ascii="楷体" w:hAnsi="楷体" w:eastAsia="楷体" w:cs="楷体"/>
          <w:sz w:val="24"/>
          <w:szCs w:val="24"/>
        </w:rPr>
        <w:t>本合同计价货币、结算货币和支付货币均为人民币。</w:t>
      </w:r>
    </w:p>
    <w:tbl>
      <w:tblPr>
        <w:tblStyle w:val="21"/>
        <w:tblW w:w="9834" w:type="dxa"/>
        <w:jc w:val="center"/>
        <w:tblLayout w:type="fixed"/>
        <w:tblCellMar>
          <w:top w:w="0" w:type="dxa"/>
          <w:left w:w="108" w:type="dxa"/>
          <w:bottom w:w="0" w:type="dxa"/>
          <w:right w:w="108" w:type="dxa"/>
        </w:tblCellMar>
      </w:tblPr>
      <w:tblGrid>
        <w:gridCol w:w="314"/>
        <w:gridCol w:w="892"/>
        <w:gridCol w:w="733"/>
        <w:gridCol w:w="567"/>
        <w:gridCol w:w="663"/>
        <w:gridCol w:w="1107"/>
        <w:gridCol w:w="1219"/>
        <w:gridCol w:w="1150"/>
        <w:gridCol w:w="1288"/>
        <w:gridCol w:w="1901"/>
      </w:tblGrid>
      <w:tr w14:paraId="6B2EEAF0">
        <w:tblPrEx>
          <w:tblCellMar>
            <w:top w:w="0" w:type="dxa"/>
            <w:left w:w="108" w:type="dxa"/>
            <w:bottom w:w="0" w:type="dxa"/>
            <w:right w:w="108" w:type="dxa"/>
          </w:tblCellMar>
        </w:tblPrEx>
        <w:trPr>
          <w:trHeight w:val="812" w:hRule="atLeast"/>
          <w:jc w:val="center"/>
        </w:trPr>
        <w:tc>
          <w:tcPr>
            <w:tcW w:w="314" w:type="dxa"/>
            <w:tcBorders>
              <w:top w:val="single" w:color="000000" w:sz="4" w:space="0"/>
              <w:left w:val="single" w:color="000000" w:sz="4" w:space="0"/>
              <w:bottom w:val="nil"/>
              <w:right w:val="single" w:color="000000" w:sz="4" w:space="0"/>
            </w:tcBorders>
            <w:vAlign w:val="center"/>
          </w:tcPr>
          <w:p w14:paraId="21450B18">
            <w:pPr>
              <w:widowControl/>
              <w:jc w:val="center"/>
              <w:textAlignment w:val="center"/>
              <w:rPr>
                <w:rFonts w:hint="eastAsia" w:ascii="楷体" w:hAnsi="楷体" w:eastAsia="楷体" w:cs="楷体"/>
                <w:szCs w:val="21"/>
              </w:rPr>
            </w:pPr>
            <w:r>
              <w:rPr>
                <w:rFonts w:hint="eastAsia" w:ascii="楷体" w:hAnsi="楷体" w:eastAsia="楷体" w:cs="楷体"/>
                <w:szCs w:val="21"/>
              </w:rPr>
              <w:t>序号</w:t>
            </w:r>
          </w:p>
        </w:tc>
        <w:tc>
          <w:tcPr>
            <w:tcW w:w="892" w:type="dxa"/>
            <w:tcBorders>
              <w:top w:val="single" w:color="000000" w:sz="4" w:space="0"/>
              <w:left w:val="single" w:color="000000" w:sz="4" w:space="0"/>
              <w:bottom w:val="nil"/>
              <w:right w:val="single" w:color="auto" w:sz="4" w:space="0"/>
            </w:tcBorders>
            <w:vAlign w:val="center"/>
          </w:tcPr>
          <w:p w14:paraId="068F88B9">
            <w:pPr>
              <w:widowControl/>
              <w:jc w:val="center"/>
              <w:textAlignment w:val="center"/>
              <w:rPr>
                <w:rFonts w:hint="eastAsia" w:ascii="楷体" w:hAnsi="楷体" w:eastAsia="楷体" w:cs="楷体"/>
                <w:szCs w:val="21"/>
              </w:rPr>
            </w:pPr>
            <w:r>
              <w:rPr>
                <w:rFonts w:hint="eastAsia" w:ascii="楷体" w:hAnsi="楷体" w:eastAsia="楷体" w:cs="楷体"/>
                <w:szCs w:val="21"/>
              </w:rPr>
              <w:t>名称</w:t>
            </w:r>
          </w:p>
        </w:tc>
        <w:tc>
          <w:tcPr>
            <w:tcW w:w="733" w:type="dxa"/>
            <w:tcBorders>
              <w:top w:val="single" w:color="000000" w:sz="4" w:space="0"/>
              <w:left w:val="single" w:color="000000" w:sz="4" w:space="0"/>
              <w:bottom w:val="nil"/>
              <w:right w:val="single" w:color="000000" w:sz="4" w:space="0"/>
            </w:tcBorders>
            <w:vAlign w:val="center"/>
          </w:tcPr>
          <w:p w14:paraId="438EE171">
            <w:pPr>
              <w:widowControl/>
              <w:jc w:val="center"/>
              <w:textAlignment w:val="center"/>
              <w:rPr>
                <w:rFonts w:hint="eastAsia" w:ascii="楷体" w:hAnsi="楷体" w:eastAsia="楷体" w:cs="楷体"/>
                <w:szCs w:val="21"/>
              </w:rPr>
            </w:pPr>
            <w:r>
              <w:rPr>
                <w:rFonts w:hint="eastAsia" w:ascii="楷体" w:hAnsi="楷体" w:eastAsia="楷体" w:cs="楷体"/>
                <w:szCs w:val="21"/>
              </w:rPr>
              <w:t>规格型号</w:t>
            </w:r>
          </w:p>
        </w:tc>
        <w:tc>
          <w:tcPr>
            <w:tcW w:w="567" w:type="dxa"/>
            <w:tcBorders>
              <w:top w:val="single" w:color="000000" w:sz="4" w:space="0"/>
              <w:left w:val="single" w:color="000000" w:sz="4" w:space="0"/>
              <w:bottom w:val="nil"/>
              <w:right w:val="single" w:color="000000" w:sz="4" w:space="0"/>
            </w:tcBorders>
            <w:vAlign w:val="center"/>
          </w:tcPr>
          <w:p w14:paraId="7049138D">
            <w:pPr>
              <w:widowControl/>
              <w:jc w:val="center"/>
              <w:textAlignment w:val="center"/>
              <w:rPr>
                <w:rFonts w:hint="eastAsia" w:ascii="楷体" w:hAnsi="楷体" w:eastAsia="楷体" w:cs="楷体"/>
                <w:szCs w:val="21"/>
              </w:rPr>
            </w:pPr>
            <w:r>
              <w:rPr>
                <w:rFonts w:hint="eastAsia" w:ascii="楷体" w:hAnsi="楷体" w:eastAsia="楷体" w:cs="楷体"/>
                <w:szCs w:val="21"/>
              </w:rPr>
              <w:t>单位</w:t>
            </w:r>
          </w:p>
        </w:tc>
        <w:tc>
          <w:tcPr>
            <w:tcW w:w="663" w:type="dxa"/>
            <w:tcBorders>
              <w:top w:val="single" w:color="000000" w:sz="4" w:space="0"/>
              <w:left w:val="single" w:color="000000" w:sz="4" w:space="0"/>
              <w:bottom w:val="nil"/>
              <w:right w:val="single" w:color="000000" w:sz="4" w:space="0"/>
            </w:tcBorders>
            <w:vAlign w:val="center"/>
          </w:tcPr>
          <w:p w14:paraId="1FB9B04A">
            <w:pPr>
              <w:widowControl/>
              <w:jc w:val="center"/>
              <w:textAlignment w:val="center"/>
              <w:rPr>
                <w:rFonts w:hint="eastAsia" w:ascii="楷体" w:hAnsi="楷体" w:eastAsia="楷体" w:cs="楷体"/>
                <w:szCs w:val="21"/>
              </w:rPr>
            </w:pPr>
            <w:r>
              <w:rPr>
                <w:rFonts w:hint="eastAsia" w:ascii="楷体" w:hAnsi="楷体" w:eastAsia="楷体" w:cs="楷体"/>
                <w:szCs w:val="21"/>
              </w:rPr>
              <w:t>数量</w:t>
            </w:r>
          </w:p>
        </w:tc>
        <w:tc>
          <w:tcPr>
            <w:tcW w:w="1107" w:type="dxa"/>
            <w:tcBorders>
              <w:top w:val="single" w:color="000000" w:sz="4" w:space="0"/>
              <w:left w:val="single" w:color="000000" w:sz="4" w:space="0"/>
              <w:bottom w:val="single" w:color="000000" w:sz="4" w:space="0"/>
              <w:right w:val="single" w:color="000000" w:sz="4" w:space="0"/>
            </w:tcBorders>
            <w:vAlign w:val="center"/>
          </w:tcPr>
          <w:p w14:paraId="5EFB9DA1">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不含税单价</w:t>
            </w:r>
          </w:p>
        </w:tc>
        <w:tc>
          <w:tcPr>
            <w:tcW w:w="1219" w:type="dxa"/>
            <w:tcBorders>
              <w:top w:val="single" w:color="000000" w:sz="4" w:space="0"/>
              <w:left w:val="single" w:color="000000" w:sz="4" w:space="0"/>
              <w:bottom w:val="single" w:color="000000" w:sz="4" w:space="0"/>
              <w:right w:val="single" w:color="000000" w:sz="4" w:space="0"/>
            </w:tcBorders>
            <w:vAlign w:val="center"/>
          </w:tcPr>
          <w:p w14:paraId="568DBCE8">
            <w:pPr>
              <w:widowControl/>
              <w:jc w:val="center"/>
              <w:textAlignment w:val="center"/>
              <w:rPr>
                <w:rFonts w:hint="eastAsia" w:ascii="楷体" w:hAnsi="楷体" w:eastAsia="楷体" w:cs="楷体"/>
                <w:szCs w:val="21"/>
              </w:rPr>
            </w:pPr>
            <w:r>
              <w:rPr>
                <w:rFonts w:hint="eastAsia" w:ascii="楷体" w:hAnsi="楷体" w:eastAsia="楷体" w:cs="楷体"/>
                <w:szCs w:val="21"/>
                <w:lang w:val="en-US" w:eastAsia="zh-CN"/>
              </w:rPr>
              <w:t>不</w:t>
            </w:r>
            <w:r>
              <w:rPr>
                <w:rFonts w:hint="eastAsia" w:ascii="楷体" w:hAnsi="楷体" w:eastAsia="楷体" w:cs="楷体"/>
                <w:szCs w:val="21"/>
              </w:rPr>
              <w:t>含税</w:t>
            </w:r>
            <w:r>
              <w:rPr>
                <w:rFonts w:hint="eastAsia" w:ascii="楷体" w:hAnsi="楷体" w:eastAsia="楷体" w:cs="楷体"/>
                <w:szCs w:val="21"/>
                <w:lang w:val="en-US" w:eastAsia="zh-CN"/>
              </w:rPr>
              <w:t>合</w:t>
            </w:r>
            <w:r>
              <w:rPr>
                <w:rFonts w:hint="eastAsia" w:ascii="楷体" w:hAnsi="楷体" w:eastAsia="楷体" w:cs="楷体"/>
                <w:szCs w:val="21"/>
              </w:rPr>
              <w:t xml:space="preserve">价 </w:t>
            </w:r>
          </w:p>
        </w:tc>
        <w:tc>
          <w:tcPr>
            <w:tcW w:w="1150" w:type="dxa"/>
            <w:tcBorders>
              <w:top w:val="single" w:color="000000" w:sz="4" w:space="0"/>
              <w:left w:val="single" w:color="000000" w:sz="4" w:space="0"/>
              <w:bottom w:val="single" w:color="000000" w:sz="4" w:space="0"/>
              <w:right w:val="single" w:color="000000" w:sz="4" w:space="0"/>
            </w:tcBorders>
            <w:vAlign w:val="center"/>
          </w:tcPr>
          <w:p w14:paraId="392C95AD">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含税单价</w:t>
            </w:r>
          </w:p>
        </w:tc>
        <w:tc>
          <w:tcPr>
            <w:tcW w:w="1288" w:type="dxa"/>
            <w:tcBorders>
              <w:top w:val="single" w:color="000000" w:sz="4" w:space="0"/>
              <w:left w:val="single" w:color="000000" w:sz="4" w:space="0"/>
              <w:bottom w:val="single" w:color="000000" w:sz="4" w:space="0"/>
              <w:right w:val="single" w:color="000000" w:sz="4" w:space="0"/>
            </w:tcBorders>
            <w:vAlign w:val="center"/>
          </w:tcPr>
          <w:p w14:paraId="72641241">
            <w:pPr>
              <w:widowControl/>
              <w:jc w:val="center"/>
              <w:textAlignment w:val="center"/>
              <w:rPr>
                <w:rFonts w:hint="eastAsia" w:ascii="楷体" w:hAnsi="楷体" w:eastAsia="楷体" w:cs="楷体"/>
                <w:szCs w:val="21"/>
              </w:rPr>
            </w:pPr>
            <w:r>
              <w:rPr>
                <w:rFonts w:hint="eastAsia" w:ascii="楷体" w:hAnsi="楷体" w:eastAsia="楷体" w:cs="楷体"/>
                <w:szCs w:val="21"/>
              </w:rPr>
              <w:t>含税合价</w:t>
            </w:r>
          </w:p>
        </w:tc>
        <w:tc>
          <w:tcPr>
            <w:tcW w:w="1901" w:type="dxa"/>
            <w:tcBorders>
              <w:top w:val="single" w:color="000000" w:sz="4" w:space="0"/>
              <w:left w:val="single" w:color="000000" w:sz="4" w:space="0"/>
              <w:bottom w:val="single" w:color="000000" w:sz="4" w:space="0"/>
              <w:right w:val="single" w:color="000000" w:sz="4" w:space="0"/>
            </w:tcBorders>
            <w:vAlign w:val="center"/>
          </w:tcPr>
          <w:p w14:paraId="65E9E0D3">
            <w:pPr>
              <w:widowControl/>
              <w:jc w:val="center"/>
              <w:textAlignment w:val="center"/>
              <w:rPr>
                <w:rFonts w:hint="eastAsia" w:ascii="楷体" w:hAnsi="楷体" w:eastAsia="楷体" w:cs="楷体"/>
                <w:szCs w:val="21"/>
              </w:rPr>
            </w:pPr>
            <w:r>
              <w:rPr>
                <w:rFonts w:hint="eastAsia" w:ascii="楷体" w:hAnsi="楷体" w:eastAsia="楷体" w:cs="楷体"/>
                <w:szCs w:val="21"/>
              </w:rPr>
              <w:t>备注</w:t>
            </w:r>
          </w:p>
        </w:tc>
      </w:tr>
      <w:tr w14:paraId="36F5DA30">
        <w:tblPrEx>
          <w:tblCellMar>
            <w:top w:w="0" w:type="dxa"/>
            <w:left w:w="108" w:type="dxa"/>
            <w:bottom w:w="0" w:type="dxa"/>
            <w:right w:w="108" w:type="dxa"/>
          </w:tblCellMar>
        </w:tblPrEx>
        <w:trPr>
          <w:trHeight w:val="607" w:hRule="atLeast"/>
          <w:jc w:val="center"/>
        </w:trPr>
        <w:tc>
          <w:tcPr>
            <w:tcW w:w="314" w:type="dxa"/>
            <w:tcBorders>
              <w:top w:val="single" w:color="000000" w:sz="4" w:space="0"/>
              <w:left w:val="single" w:color="000000" w:sz="4" w:space="0"/>
              <w:bottom w:val="nil"/>
              <w:right w:val="single" w:color="000000" w:sz="4" w:space="0"/>
            </w:tcBorders>
            <w:vAlign w:val="center"/>
          </w:tcPr>
          <w:p w14:paraId="1CB0A0A3">
            <w:pPr>
              <w:widowControl/>
              <w:jc w:val="center"/>
              <w:textAlignment w:val="center"/>
              <w:rPr>
                <w:rFonts w:hint="eastAsia" w:ascii="楷体" w:hAnsi="楷体" w:eastAsia="楷体" w:cs="楷体"/>
                <w:szCs w:val="21"/>
              </w:rPr>
            </w:pPr>
            <w:r>
              <w:rPr>
                <w:rFonts w:hint="eastAsia" w:ascii="楷体" w:hAnsi="楷体" w:eastAsia="楷体" w:cs="楷体"/>
                <w:szCs w:val="21"/>
              </w:rPr>
              <w:t>1</w:t>
            </w:r>
          </w:p>
        </w:tc>
        <w:tc>
          <w:tcPr>
            <w:tcW w:w="892" w:type="dxa"/>
            <w:tcBorders>
              <w:top w:val="single" w:color="000000" w:sz="4" w:space="0"/>
              <w:left w:val="single" w:color="000000" w:sz="4" w:space="0"/>
              <w:bottom w:val="nil"/>
              <w:right w:val="single" w:color="auto" w:sz="4" w:space="0"/>
            </w:tcBorders>
            <w:vAlign w:val="center"/>
          </w:tcPr>
          <w:p w14:paraId="4CAD96CB">
            <w:pPr>
              <w:widowControl/>
              <w:jc w:val="center"/>
              <w:textAlignment w:val="center"/>
              <w:rPr>
                <w:rFonts w:hint="eastAsia" w:ascii="楷体" w:hAnsi="楷体" w:eastAsia="楷体" w:cs="楷体"/>
                <w:szCs w:val="21"/>
                <w:lang w:eastAsia="en-US"/>
              </w:rPr>
            </w:pPr>
            <w:r>
              <w:rPr>
                <w:rFonts w:hint="eastAsia" w:ascii="楷体" w:hAnsi="楷体" w:eastAsia="楷体" w:cs="楷体"/>
                <w:szCs w:val="21"/>
                <w:lang w:eastAsia="en-US"/>
              </w:rPr>
              <w:t>超声波水表</w:t>
            </w:r>
          </w:p>
        </w:tc>
        <w:tc>
          <w:tcPr>
            <w:tcW w:w="733" w:type="dxa"/>
            <w:tcBorders>
              <w:top w:val="single" w:color="000000" w:sz="4" w:space="0"/>
              <w:left w:val="single" w:color="000000" w:sz="4" w:space="0"/>
              <w:bottom w:val="nil"/>
              <w:right w:val="single" w:color="000000" w:sz="4" w:space="0"/>
            </w:tcBorders>
            <w:vAlign w:val="center"/>
          </w:tcPr>
          <w:p w14:paraId="49919A9A">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DN50</w:t>
            </w:r>
          </w:p>
        </w:tc>
        <w:tc>
          <w:tcPr>
            <w:tcW w:w="567" w:type="dxa"/>
            <w:tcBorders>
              <w:top w:val="single" w:color="000000" w:sz="4" w:space="0"/>
              <w:left w:val="single" w:color="000000" w:sz="4" w:space="0"/>
              <w:bottom w:val="nil"/>
              <w:right w:val="single" w:color="000000" w:sz="4" w:space="0"/>
            </w:tcBorders>
            <w:vAlign w:val="center"/>
          </w:tcPr>
          <w:p w14:paraId="2F7BD31C">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个</w:t>
            </w:r>
          </w:p>
        </w:tc>
        <w:tc>
          <w:tcPr>
            <w:tcW w:w="663" w:type="dxa"/>
            <w:tcBorders>
              <w:top w:val="single" w:color="000000" w:sz="4" w:space="0"/>
              <w:left w:val="single" w:color="000000" w:sz="4" w:space="0"/>
              <w:bottom w:val="nil"/>
              <w:right w:val="single" w:color="000000" w:sz="4" w:space="0"/>
            </w:tcBorders>
            <w:vAlign w:val="center"/>
          </w:tcPr>
          <w:p w14:paraId="0B0AFE71">
            <w:pPr>
              <w:widowControl/>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5</w:t>
            </w:r>
          </w:p>
        </w:tc>
        <w:tc>
          <w:tcPr>
            <w:tcW w:w="1107" w:type="dxa"/>
            <w:tcBorders>
              <w:top w:val="single" w:color="000000" w:sz="4" w:space="0"/>
              <w:left w:val="single" w:color="000000" w:sz="4" w:space="0"/>
              <w:bottom w:val="single" w:color="000000" w:sz="4" w:space="0"/>
              <w:right w:val="single" w:color="000000" w:sz="4" w:space="0"/>
            </w:tcBorders>
            <w:vAlign w:val="center"/>
          </w:tcPr>
          <w:p w14:paraId="3BFFEBC8">
            <w:pPr>
              <w:widowControl/>
              <w:jc w:val="center"/>
              <w:textAlignment w:val="center"/>
              <w:rPr>
                <w:rFonts w:hint="eastAsia" w:ascii="楷体" w:hAnsi="楷体" w:eastAsia="楷体" w:cs="楷体"/>
                <w:szCs w:val="21"/>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B7CB8C0">
            <w:pPr>
              <w:widowControl/>
              <w:jc w:val="center"/>
              <w:textAlignment w:val="center"/>
              <w:rPr>
                <w:rFonts w:hint="eastAsia" w:ascii="楷体" w:hAnsi="楷体" w:eastAsia="楷体" w:cs="楷体"/>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3ACB131C">
            <w:pPr>
              <w:widowControl/>
              <w:jc w:val="center"/>
              <w:textAlignment w:val="center"/>
              <w:rPr>
                <w:rFonts w:hint="eastAsia" w:ascii="楷体" w:hAnsi="楷体" w:eastAsia="楷体" w:cs="楷体"/>
                <w:szCs w:val="21"/>
              </w:rPr>
            </w:pPr>
          </w:p>
        </w:tc>
        <w:tc>
          <w:tcPr>
            <w:tcW w:w="1288" w:type="dxa"/>
            <w:tcBorders>
              <w:top w:val="single" w:color="000000" w:sz="4" w:space="0"/>
              <w:left w:val="single" w:color="000000" w:sz="4" w:space="0"/>
              <w:bottom w:val="single" w:color="000000" w:sz="4" w:space="0"/>
              <w:right w:val="single" w:color="000000" w:sz="4" w:space="0"/>
            </w:tcBorders>
            <w:vAlign w:val="center"/>
          </w:tcPr>
          <w:p w14:paraId="069AA5D5">
            <w:pPr>
              <w:widowControl/>
              <w:jc w:val="center"/>
              <w:textAlignment w:val="center"/>
              <w:rPr>
                <w:rFonts w:hint="eastAsia" w:ascii="楷体" w:hAnsi="楷体" w:eastAsia="楷体" w:cs="楷体"/>
                <w:szCs w:val="21"/>
              </w:rPr>
            </w:pPr>
          </w:p>
        </w:tc>
        <w:tc>
          <w:tcPr>
            <w:tcW w:w="1901" w:type="dxa"/>
            <w:tcBorders>
              <w:top w:val="single" w:color="000000" w:sz="4" w:space="0"/>
              <w:left w:val="single" w:color="000000" w:sz="4" w:space="0"/>
              <w:bottom w:val="single" w:color="000000" w:sz="4" w:space="0"/>
              <w:right w:val="single" w:color="000000" w:sz="4" w:space="0"/>
            </w:tcBorders>
            <w:vAlign w:val="center"/>
          </w:tcPr>
          <w:p w14:paraId="6C546899">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管段式PN10法兰连接</w:t>
            </w:r>
          </w:p>
        </w:tc>
      </w:tr>
      <w:tr w14:paraId="44AECF14">
        <w:tblPrEx>
          <w:tblCellMar>
            <w:top w:w="0" w:type="dxa"/>
            <w:left w:w="108" w:type="dxa"/>
            <w:bottom w:w="0" w:type="dxa"/>
            <w:right w:w="108" w:type="dxa"/>
          </w:tblCellMar>
        </w:tblPrEx>
        <w:trPr>
          <w:trHeight w:val="607" w:hRule="atLeast"/>
          <w:jc w:val="center"/>
        </w:trPr>
        <w:tc>
          <w:tcPr>
            <w:tcW w:w="314" w:type="dxa"/>
            <w:tcBorders>
              <w:top w:val="single" w:color="000000" w:sz="4" w:space="0"/>
              <w:left w:val="single" w:color="000000" w:sz="4" w:space="0"/>
              <w:bottom w:val="nil"/>
              <w:right w:val="single" w:color="000000" w:sz="4" w:space="0"/>
            </w:tcBorders>
            <w:vAlign w:val="center"/>
          </w:tcPr>
          <w:p w14:paraId="1D493114">
            <w:pPr>
              <w:widowControl/>
              <w:jc w:val="center"/>
              <w:textAlignment w:val="center"/>
              <w:rPr>
                <w:rFonts w:hint="eastAsia" w:ascii="楷体" w:hAnsi="楷体" w:eastAsia="楷体" w:cs="楷体"/>
                <w:szCs w:val="21"/>
              </w:rPr>
            </w:pPr>
            <w:r>
              <w:rPr>
                <w:rFonts w:hint="eastAsia" w:ascii="楷体" w:hAnsi="楷体" w:eastAsia="楷体" w:cs="楷体"/>
                <w:szCs w:val="21"/>
              </w:rPr>
              <w:t>2</w:t>
            </w:r>
          </w:p>
        </w:tc>
        <w:tc>
          <w:tcPr>
            <w:tcW w:w="892" w:type="dxa"/>
            <w:tcBorders>
              <w:top w:val="single" w:color="000000" w:sz="4" w:space="0"/>
              <w:left w:val="single" w:color="000000" w:sz="4" w:space="0"/>
              <w:bottom w:val="nil"/>
              <w:right w:val="single" w:color="auto" w:sz="4" w:space="0"/>
            </w:tcBorders>
            <w:vAlign w:val="center"/>
          </w:tcPr>
          <w:p w14:paraId="18AF86E5">
            <w:pPr>
              <w:widowControl/>
              <w:jc w:val="center"/>
              <w:textAlignment w:val="center"/>
              <w:rPr>
                <w:rFonts w:hint="eastAsia" w:ascii="楷体" w:hAnsi="楷体" w:eastAsia="楷体" w:cs="楷体"/>
                <w:szCs w:val="21"/>
                <w:lang w:eastAsia="en-US"/>
              </w:rPr>
            </w:pPr>
            <w:r>
              <w:rPr>
                <w:rFonts w:hint="eastAsia" w:ascii="楷体" w:hAnsi="楷体" w:eastAsia="楷体" w:cs="楷体"/>
                <w:szCs w:val="21"/>
                <w:lang w:eastAsia="en-US"/>
              </w:rPr>
              <w:t>超声波水表</w:t>
            </w:r>
          </w:p>
        </w:tc>
        <w:tc>
          <w:tcPr>
            <w:tcW w:w="733" w:type="dxa"/>
            <w:tcBorders>
              <w:top w:val="single" w:color="000000" w:sz="4" w:space="0"/>
              <w:left w:val="single" w:color="000000" w:sz="4" w:space="0"/>
              <w:bottom w:val="nil"/>
              <w:right w:val="single" w:color="000000" w:sz="4" w:space="0"/>
            </w:tcBorders>
            <w:vAlign w:val="center"/>
          </w:tcPr>
          <w:p w14:paraId="029C1513">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DN100</w:t>
            </w:r>
          </w:p>
        </w:tc>
        <w:tc>
          <w:tcPr>
            <w:tcW w:w="567" w:type="dxa"/>
            <w:tcBorders>
              <w:top w:val="single" w:color="000000" w:sz="4" w:space="0"/>
              <w:left w:val="single" w:color="000000" w:sz="4" w:space="0"/>
              <w:bottom w:val="nil"/>
              <w:right w:val="single" w:color="000000" w:sz="4" w:space="0"/>
            </w:tcBorders>
            <w:vAlign w:val="center"/>
          </w:tcPr>
          <w:p w14:paraId="67FDEF11">
            <w:pPr>
              <w:widowControl/>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个</w:t>
            </w:r>
          </w:p>
        </w:tc>
        <w:tc>
          <w:tcPr>
            <w:tcW w:w="663" w:type="dxa"/>
            <w:tcBorders>
              <w:top w:val="single" w:color="000000" w:sz="4" w:space="0"/>
              <w:left w:val="single" w:color="000000" w:sz="4" w:space="0"/>
              <w:bottom w:val="nil"/>
              <w:right w:val="single" w:color="000000" w:sz="4" w:space="0"/>
            </w:tcBorders>
            <w:vAlign w:val="center"/>
          </w:tcPr>
          <w:p w14:paraId="3561E526">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16</w:t>
            </w:r>
          </w:p>
        </w:tc>
        <w:tc>
          <w:tcPr>
            <w:tcW w:w="1107" w:type="dxa"/>
            <w:tcBorders>
              <w:top w:val="single" w:color="000000" w:sz="4" w:space="0"/>
              <w:left w:val="single" w:color="000000" w:sz="4" w:space="0"/>
              <w:bottom w:val="single" w:color="000000" w:sz="4" w:space="0"/>
              <w:right w:val="single" w:color="000000" w:sz="4" w:space="0"/>
            </w:tcBorders>
            <w:vAlign w:val="center"/>
          </w:tcPr>
          <w:p w14:paraId="07CF83EF">
            <w:pPr>
              <w:widowControl/>
              <w:jc w:val="center"/>
              <w:textAlignment w:val="center"/>
              <w:rPr>
                <w:rFonts w:hint="eastAsia" w:ascii="楷体" w:hAnsi="楷体" w:eastAsia="楷体" w:cs="楷体"/>
                <w:szCs w:val="21"/>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1DB6ADF2">
            <w:pPr>
              <w:widowControl/>
              <w:jc w:val="center"/>
              <w:textAlignment w:val="center"/>
              <w:rPr>
                <w:rFonts w:hint="eastAsia" w:ascii="楷体" w:hAnsi="楷体" w:eastAsia="楷体" w:cs="楷体"/>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4A00185A">
            <w:pPr>
              <w:widowControl/>
              <w:jc w:val="center"/>
              <w:textAlignment w:val="center"/>
              <w:rPr>
                <w:rFonts w:hint="eastAsia" w:ascii="楷体" w:hAnsi="楷体" w:eastAsia="楷体" w:cs="楷体"/>
                <w:szCs w:val="21"/>
              </w:rPr>
            </w:pPr>
          </w:p>
        </w:tc>
        <w:tc>
          <w:tcPr>
            <w:tcW w:w="1288" w:type="dxa"/>
            <w:tcBorders>
              <w:top w:val="single" w:color="000000" w:sz="4" w:space="0"/>
              <w:left w:val="single" w:color="000000" w:sz="4" w:space="0"/>
              <w:bottom w:val="single" w:color="000000" w:sz="4" w:space="0"/>
              <w:right w:val="single" w:color="000000" w:sz="4" w:space="0"/>
            </w:tcBorders>
            <w:vAlign w:val="center"/>
          </w:tcPr>
          <w:p w14:paraId="5483D029">
            <w:pPr>
              <w:widowControl/>
              <w:jc w:val="center"/>
              <w:textAlignment w:val="center"/>
              <w:rPr>
                <w:rFonts w:hint="eastAsia" w:ascii="楷体" w:hAnsi="楷体" w:eastAsia="楷体" w:cs="楷体"/>
                <w:szCs w:val="21"/>
              </w:rPr>
            </w:pPr>
          </w:p>
        </w:tc>
        <w:tc>
          <w:tcPr>
            <w:tcW w:w="1901" w:type="dxa"/>
            <w:tcBorders>
              <w:top w:val="single" w:color="000000" w:sz="4" w:space="0"/>
              <w:left w:val="single" w:color="000000" w:sz="4" w:space="0"/>
              <w:bottom w:val="single" w:color="000000" w:sz="4" w:space="0"/>
              <w:right w:val="single" w:color="000000" w:sz="4" w:space="0"/>
            </w:tcBorders>
            <w:vAlign w:val="center"/>
          </w:tcPr>
          <w:p w14:paraId="51DE2BBF">
            <w:pPr>
              <w:widowControl/>
              <w:jc w:val="center"/>
              <w:textAlignment w:val="center"/>
              <w:rPr>
                <w:rFonts w:hint="eastAsia" w:ascii="楷体" w:hAnsi="楷体" w:eastAsia="楷体" w:cs="楷体"/>
                <w:szCs w:val="21"/>
              </w:rPr>
            </w:pPr>
            <w:r>
              <w:rPr>
                <w:rFonts w:hint="eastAsia" w:ascii="楷体" w:hAnsi="楷体" w:eastAsia="楷体" w:cs="楷体"/>
                <w:szCs w:val="21"/>
                <w:lang w:val="en-US" w:eastAsia="zh-CN"/>
              </w:rPr>
              <w:t>管段式PN16带压力传输法兰连接</w:t>
            </w:r>
          </w:p>
        </w:tc>
      </w:tr>
      <w:tr w14:paraId="0CD49862">
        <w:tblPrEx>
          <w:tblCellMar>
            <w:top w:w="0" w:type="dxa"/>
            <w:left w:w="108" w:type="dxa"/>
            <w:bottom w:w="0" w:type="dxa"/>
            <w:right w:w="108" w:type="dxa"/>
          </w:tblCellMar>
        </w:tblPrEx>
        <w:trPr>
          <w:trHeight w:val="607" w:hRule="atLeast"/>
          <w:jc w:val="center"/>
        </w:trPr>
        <w:tc>
          <w:tcPr>
            <w:tcW w:w="314" w:type="dxa"/>
            <w:tcBorders>
              <w:top w:val="single" w:color="000000" w:sz="4" w:space="0"/>
              <w:left w:val="single" w:color="000000" w:sz="4" w:space="0"/>
              <w:bottom w:val="nil"/>
              <w:right w:val="single" w:color="000000" w:sz="4" w:space="0"/>
            </w:tcBorders>
            <w:vAlign w:val="center"/>
          </w:tcPr>
          <w:p w14:paraId="252C0974">
            <w:pPr>
              <w:widowControl/>
              <w:jc w:val="center"/>
              <w:textAlignment w:val="center"/>
              <w:rPr>
                <w:rFonts w:hint="eastAsia" w:ascii="楷体" w:hAnsi="楷体" w:eastAsia="楷体" w:cs="楷体"/>
                <w:szCs w:val="21"/>
              </w:rPr>
            </w:pPr>
            <w:r>
              <w:rPr>
                <w:rFonts w:hint="eastAsia" w:ascii="楷体" w:hAnsi="楷体" w:eastAsia="楷体" w:cs="楷体"/>
                <w:szCs w:val="21"/>
              </w:rPr>
              <w:t>3</w:t>
            </w:r>
          </w:p>
        </w:tc>
        <w:tc>
          <w:tcPr>
            <w:tcW w:w="892" w:type="dxa"/>
            <w:tcBorders>
              <w:top w:val="single" w:color="000000" w:sz="4" w:space="0"/>
              <w:left w:val="single" w:color="000000" w:sz="4" w:space="0"/>
              <w:bottom w:val="nil"/>
              <w:right w:val="single" w:color="auto" w:sz="4" w:space="0"/>
            </w:tcBorders>
            <w:vAlign w:val="center"/>
          </w:tcPr>
          <w:p w14:paraId="4D22ECBD">
            <w:pPr>
              <w:widowControl/>
              <w:jc w:val="center"/>
              <w:textAlignment w:val="center"/>
              <w:rPr>
                <w:rFonts w:hint="eastAsia" w:ascii="楷体" w:hAnsi="楷体" w:eastAsia="楷体" w:cs="楷体"/>
                <w:szCs w:val="21"/>
                <w:lang w:eastAsia="en-US"/>
              </w:rPr>
            </w:pPr>
            <w:r>
              <w:rPr>
                <w:rFonts w:hint="eastAsia" w:ascii="楷体" w:hAnsi="楷体" w:eastAsia="楷体" w:cs="楷体"/>
                <w:szCs w:val="21"/>
                <w:lang w:eastAsia="en-US"/>
              </w:rPr>
              <w:t>超声波水表</w:t>
            </w:r>
          </w:p>
        </w:tc>
        <w:tc>
          <w:tcPr>
            <w:tcW w:w="733" w:type="dxa"/>
            <w:tcBorders>
              <w:top w:val="single" w:color="000000" w:sz="4" w:space="0"/>
              <w:left w:val="single" w:color="000000" w:sz="4" w:space="0"/>
              <w:bottom w:val="nil"/>
              <w:right w:val="single" w:color="000000" w:sz="4" w:space="0"/>
            </w:tcBorders>
            <w:vAlign w:val="center"/>
          </w:tcPr>
          <w:p w14:paraId="3E9E0619">
            <w:pPr>
              <w:widowControl/>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DN200</w:t>
            </w:r>
          </w:p>
        </w:tc>
        <w:tc>
          <w:tcPr>
            <w:tcW w:w="567" w:type="dxa"/>
            <w:tcBorders>
              <w:top w:val="single" w:color="000000" w:sz="4" w:space="0"/>
              <w:left w:val="single" w:color="000000" w:sz="4" w:space="0"/>
              <w:bottom w:val="nil"/>
              <w:right w:val="single" w:color="000000" w:sz="4" w:space="0"/>
            </w:tcBorders>
            <w:vAlign w:val="center"/>
          </w:tcPr>
          <w:p w14:paraId="6C872B0B">
            <w:pPr>
              <w:widowControl/>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个</w:t>
            </w:r>
          </w:p>
        </w:tc>
        <w:tc>
          <w:tcPr>
            <w:tcW w:w="663" w:type="dxa"/>
            <w:tcBorders>
              <w:top w:val="single" w:color="000000" w:sz="4" w:space="0"/>
              <w:left w:val="single" w:color="000000" w:sz="4" w:space="0"/>
              <w:bottom w:val="nil"/>
              <w:right w:val="single" w:color="000000" w:sz="4" w:space="0"/>
            </w:tcBorders>
            <w:vAlign w:val="center"/>
          </w:tcPr>
          <w:p w14:paraId="2827C1FB">
            <w:pPr>
              <w:widowControl/>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1</w:t>
            </w:r>
          </w:p>
        </w:tc>
        <w:tc>
          <w:tcPr>
            <w:tcW w:w="1107" w:type="dxa"/>
            <w:tcBorders>
              <w:top w:val="single" w:color="000000" w:sz="4" w:space="0"/>
              <w:left w:val="single" w:color="000000" w:sz="4" w:space="0"/>
              <w:bottom w:val="single" w:color="000000" w:sz="4" w:space="0"/>
              <w:right w:val="single" w:color="000000" w:sz="4" w:space="0"/>
            </w:tcBorders>
            <w:vAlign w:val="center"/>
          </w:tcPr>
          <w:p w14:paraId="56BE1EEC">
            <w:pPr>
              <w:widowControl/>
              <w:jc w:val="center"/>
              <w:textAlignment w:val="center"/>
              <w:rPr>
                <w:rFonts w:hint="eastAsia" w:ascii="楷体" w:hAnsi="楷体" w:eastAsia="楷体" w:cs="楷体"/>
                <w:szCs w:val="21"/>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21B01F1D">
            <w:pPr>
              <w:widowControl/>
              <w:jc w:val="center"/>
              <w:textAlignment w:val="center"/>
              <w:rPr>
                <w:rFonts w:hint="eastAsia" w:ascii="楷体" w:hAnsi="楷体" w:eastAsia="楷体" w:cs="楷体"/>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500D810B">
            <w:pPr>
              <w:widowControl/>
              <w:jc w:val="center"/>
              <w:textAlignment w:val="center"/>
              <w:rPr>
                <w:rFonts w:hint="eastAsia" w:ascii="楷体" w:hAnsi="楷体" w:eastAsia="楷体" w:cs="楷体"/>
                <w:szCs w:val="21"/>
              </w:rPr>
            </w:pPr>
          </w:p>
        </w:tc>
        <w:tc>
          <w:tcPr>
            <w:tcW w:w="1288" w:type="dxa"/>
            <w:tcBorders>
              <w:top w:val="single" w:color="000000" w:sz="4" w:space="0"/>
              <w:left w:val="single" w:color="000000" w:sz="4" w:space="0"/>
              <w:bottom w:val="single" w:color="000000" w:sz="4" w:space="0"/>
              <w:right w:val="single" w:color="000000" w:sz="4" w:space="0"/>
            </w:tcBorders>
            <w:vAlign w:val="center"/>
          </w:tcPr>
          <w:p w14:paraId="6083DEF0">
            <w:pPr>
              <w:widowControl/>
              <w:jc w:val="center"/>
              <w:textAlignment w:val="center"/>
              <w:rPr>
                <w:rFonts w:hint="eastAsia" w:ascii="楷体" w:hAnsi="楷体" w:eastAsia="楷体" w:cs="楷体"/>
                <w:szCs w:val="21"/>
              </w:rPr>
            </w:pPr>
          </w:p>
        </w:tc>
        <w:tc>
          <w:tcPr>
            <w:tcW w:w="1901" w:type="dxa"/>
            <w:tcBorders>
              <w:top w:val="single" w:color="000000" w:sz="4" w:space="0"/>
              <w:left w:val="single" w:color="000000" w:sz="4" w:space="0"/>
              <w:bottom w:val="single" w:color="000000" w:sz="4" w:space="0"/>
              <w:right w:val="single" w:color="000000" w:sz="4" w:space="0"/>
            </w:tcBorders>
            <w:vAlign w:val="center"/>
          </w:tcPr>
          <w:p w14:paraId="2B5A1E10">
            <w:pPr>
              <w:widowControl/>
              <w:jc w:val="center"/>
              <w:textAlignment w:val="center"/>
              <w:rPr>
                <w:rFonts w:hint="eastAsia" w:ascii="楷体" w:hAnsi="楷体" w:eastAsia="楷体" w:cs="楷体"/>
                <w:szCs w:val="21"/>
              </w:rPr>
            </w:pPr>
            <w:r>
              <w:rPr>
                <w:rFonts w:hint="eastAsia" w:ascii="楷体" w:hAnsi="楷体" w:eastAsia="楷体" w:cs="楷体"/>
                <w:szCs w:val="21"/>
                <w:lang w:val="en-US" w:eastAsia="zh-CN"/>
              </w:rPr>
              <w:t>管段式PN16带压力传输法兰连接</w:t>
            </w:r>
          </w:p>
        </w:tc>
      </w:tr>
      <w:tr w14:paraId="6209BB37">
        <w:tblPrEx>
          <w:tblCellMar>
            <w:top w:w="0" w:type="dxa"/>
            <w:left w:w="108" w:type="dxa"/>
            <w:bottom w:w="0" w:type="dxa"/>
            <w:right w:w="108" w:type="dxa"/>
          </w:tblCellMar>
        </w:tblPrEx>
        <w:trPr>
          <w:trHeight w:val="479"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14:paraId="058B9B68">
            <w:pPr>
              <w:widowControl/>
              <w:jc w:val="center"/>
              <w:textAlignment w:val="center"/>
              <w:rPr>
                <w:rFonts w:hint="eastAsia" w:ascii="仿宋" w:hAnsi="仿宋" w:eastAsia="仿宋" w:cs="仿宋"/>
                <w:kern w:val="0"/>
                <w:szCs w:val="21"/>
                <w:lang w:bidi="ar"/>
              </w:rPr>
            </w:pPr>
          </w:p>
        </w:tc>
        <w:tc>
          <w:tcPr>
            <w:tcW w:w="2855" w:type="dxa"/>
            <w:gridSpan w:val="4"/>
            <w:tcBorders>
              <w:top w:val="single" w:color="000000" w:sz="4" w:space="0"/>
              <w:left w:val="single" w:color="000000" w:sz="4" w:space="0"/>
              <w:bottom w:val="single" w:color="000000" w:sz="4" w:space="0"/>
              <w:right w:val="single" w:color="000000" w:sz="4" w:space="0"/>
            </w:tcBorders>
            <w:vAlign w:val="center"/>
          </w:tcPr>
          <w:p w14:paraId="2800CC1E">
            <w:pPr>
              <w:widowControl/>
              <w:kinsoku w:val="0"/>
              <w:autoSpaceDE w:val="0"/>
              <w:autoSpaceDN w:val="0"/>
              <w:adjustRightInd w:val="0"/>
              <w:snapToGrid w:val="0"/>
              <w:jc w:val="center"/>
              <w:textAlignment w:val="center"/>
              <w:rPr>
                <w:rFonts w:hint="eastAsia" w:ascii="楷体" w:hAnsi="楷体" w:eastAsia="楷体" w:cs="楷体"/>
                <w:szCs w:val="21"/>
              </w:rPr>
            </w:pPr>
            <w:r>
              <w:rPr>
                <w:rFonts w:hint="eastAsia" w:ascii="楷体" w:hAnsi="楷体" w:eastAsia="楷体" w:cs="楷体"/>
                <w:szCs w:val="21"/>
              </w:rPr>
              <w:t>合计</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B5F4936">
            <w:pPr>
              <w:widowControl/>
              <w:kinsoku w:val="0"/>
              <w:autoSpaceDE w:val="0"/>
              <w:autoSpaceDN w:val="0"/>
              <w:adjustRightInd w:val="0"/>
              <w:snapToGrid w:val="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485A721">
            <w:pPr>
              <w:widowControl/>
              <w:kinsoku w:val="0"/>
              <w:autoSpaceDE w:val="0"/>
              <w:autoSpaceDN w:val="0"/>
              <w:adjustRightInd w:val="0"/>
              <w:snapToGrid w:val="0"/>
              <w:jc w:val="center"/>
              <w:textAlignment w:val="center"/>
              <w:rPr>
                <w:rFonts w:hint="eastAsia" w:ascii="楷体" w:hAnsi="楷体" w:eastAsia="楷体" w:cs="楷体"/>
                <w:szCs w:val="21"/>
                <w:lang w:val="en-US" w:eastAsia="zh-CN"/>
              </w:rPr>
            </w:pPr>
            <w:r>
              <w:rPr>
                <w:rFonts w:hint="eastAsia" w:ascii="楷体" w:hAnsi="楷体" w:eastAsia="楷体" w:cs="楷体"/>
                <w:szCs w:val="21"/>
                <w:lang w:val="en-US" w:eastAsia="zh-CN"/>
              </w:rPr>
              <w:t xml:space="preserve"> </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9682756">
            <w:pPr>
              <w:widowControl/>
              <w:kinsoku w:val="0"/>
              <w:autoSpaceDE w:val="0"/>
              <w:autoSpaceDN w:val="0"/>
              <w:adjustRightInd w:val="0"/>
              <w:snapToGrid w:val="0"/>
              <w:jc w:val="center"/>
              <w:textAlignment w:val="center"/>
              <w:rPr>
                <w:rFonts w:hint="default" w:ascii="楷体" w:hAnsi="楷体" w:eastAsia="楷体" w:cs="楷体"/>
                <w:szCs w:val="21"/>
                <w:lang w:val="en-US" w:eastAsia="zh-CN"/>
              </w:rPr>
            </w:pPr>
            <w:r>
              <w:rPr>
                <w:rFonts w:hint="eastAsia" w:ascii="楷体" w:hAnsi="楷体" w:eastAsia="楷体" w:cs="楷体"/>
                <w:szCs w:val="21"/>
                <w:lang w:val="en-US" w:eastAsia="zh-CN"/>
              </w:rPr>
              <w:t>/</w:t>
            </w: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CEFD492">
            <w:pPr>
              <w:widowControl/>
              <w:kinsoku w:val="0"/>
              <w:autoSpaceDE w:val="0"/>
              <w:autoSpaceDN w:val="0"/>
              <w:adjustRightInd w:val="0"/>
              <w:snapToGrid w:val="0"/>
              <w:jc w:val="center"/>
              <w:textAlignment w:val="center"/>
              <w:rPr>
                <w:rFonts w:hint="eastAsia" w:ascii="楷体" w:hAnsi="楷体" w:eastAsia="楷体" w:cs="楷体"/>
                <w:szCs w:val="21"/>
              </w:rPr>
            </w:pPr>
          </w:p>
        </w:tc>
        <w:tc>
          <w:tcPr>
            <w:tcW w:w="1901" w:type="dxa"/>
            <w:tcBorders>
              <w:top w:val="single" w:color="000000" w:sz="4" w:space="0"/>
              <w:left w:val="single" w:color="000000" w:sz="4" w:space="0"/>
              <w:bottom w:val="single" w:color="000000" w:sz="4" w:space="0"/>
              <w:right w:val="single" w:color="000000" w:sz="4" w:space="0"/>
            </w:tcBorders>
            <w:noWrap/>
            <w:vAlign w:val="center"/>
          </w:tcPr>
          <w:p w14:paraId="15D850F0">
            <w:pPr>
              <w:widowControl/>
              <w:kinsoku w:val="0"/>
              <w:autoSpaceDE w:val="0"/>
              <w:autoSpaceDN w:val="0"/>
              <w:adjustRightInd w:val="0"/>
              <w:snapToGrid w:val="0"/>
              <w:jc w:val="center"/>
              <w:textAlignment w:val="center"/>
              <w:rPr>
                <w:rFonts w:hint="eastAsia" w:ascii="楷体" w:hAnsi="楷体" w:eastAsia="楷体" w:cs="楷体"/>
                <w:szCs w:val="21"/>
              </w:rPr>
            </w:pPr>
          </w:p>
        </w:tc>
      </w:tr>
      <w:tr w14:paraId="2775D041">
        <w:tblPrEx>
          <w:tblCellMar>
            <w:top w:w="0" w:type="dxa"/>
            <w:left w:w="108" w:type="dxa"/>
            <w:bottom w:w="0" w:type="dxa"/>
            <w:right w:w="108" w:type="dxa"/>
          </w:tblCellMar>
        </w:tblPrEx>
        <w:trPr>
          <w:trHeight w:val="477" w:hRule="atLeast"/>
          <w:jc w:val="center"/>
        </w:trPr>
        <w:tc>
          <w:tcPr>
            <w:tcW w:w="3169" w:type="dxa"/>
            <w:gridSpan w:val="5"/>
            <w:tcBorders>
              <w:top w:val="single" w:color="000000" w:sz="4" w:space="0"/>
              <w:left w:val="single" w:color="000000" w:sz="4" w:space="0"/>
              <w:bottom w:val="single" w:color="000000" w:sz="4" w:space="0"/>
              <w:right w:val="single" w:color="000000" w:sz="4" w:space="0"/>
            </w:tcBorders>
            <w:vAlign w:val="center"/>
          </w:tcPr>
          <w:p w14:paraId="02C60F59">
            <w:pPr>
              <w:widowControl/>
              <w:kinsoku w:val="0"/>
              <w:autoSpaceDE w:val="0"/>
              <w:autoSpaceDN w:val="0"/>
              <w:adjustRightInd w:val="0"/>
              <w:snapToGrid w:val="0"/>
              <w:jc w:val="center"/>
              <w:textAlignment w:val="center"/>
              <w:rPr>
                <w:rFonts w:hint="eastAsia" w:ascii="楷体" w:hAnsi="楷体" w:eastAsia="楷体" w:cs="楷体"/>
                <w:szCs w:val="21"/>
              </w:rPr>
            </w:pPr>
            <w:r>
              <w:rPr>
                <w:rFonts w:hint="eastAsia" w:ascii="楷体" w:hAnsi="楷体" w:eastAsia="楷体" w:cs="楷体"/>
                <w:szCs w:val="21"/>
              </w:rPr>
              <w:t>提供增值税专用发票税率</w:t>
            </w:r>
          </w:p>
        </w:tc>
        <w:tc>
          <w:tcPr>
            <w:tcW w:w="6665" w:type="dxa"/>
            <w:gridSpan w:val="5"/>
            <w:tcBorders>
              <w:top w:val="single" w:color="000000" w:sz="4" w:space="0"/>
              <w:left w:val="single" w:color="000000" w:sz="4" w:space="0"/>
              <w:bottom w:val="single" w:color="000000" w:sz="4" w:space="0"/>
              <w:right w:val="single" w:color="000000" w:sz="4" w:space="0"/>
            </w:tcBorders>
            <w:noWrap/>
            <w:vAlign w:val="center"/>
          </w:tcPr>
          <w:p w14:paraId="67AE74C1">
            <w:pPr>
              <w:widowControl/>
              <w:kinsoku w:val="0"/>
              <w:autoSpaceDE w:val="0"/>
              <w:autoSpaceDN w:val="0"/>
              <w:adjustRightInd w:val="0"/>
              <w:snapToGrid w:val="0"/>
              <w:jc w:val="center"/>
              <w:textAlignment w:val="center"/>
              <w:rPr>
                <w:rFonts w:hint="eastAsia" w:ascii="楷体" w:hAnsi="楷体" w:eastAsia="楷体" w:cs="楷体"/>
                <w:szCs w:val="21"/>
              </w:rPr>
            </w:pPr>
            <w:r>
              <w:rPr>
                <w:rFonts w:hint="eastAsia" w:ascii="楷体" w:hAnsi="楷体" w:eastAsia="楷体" w:cs="楷体"/>
                <w:szCs w:val="21"/>
                <w:lang w:val="en-US" w:eastAsia="zh-CN"/>
              </w:rPr>
              <w:t xml:space="preserve"> </w:t>
            </w:r>
            <w:r>
              <w:rPr>
                <w:rFonts w:hint="eastAsia" w:ascii="楷体" w:hAnsi="楷体" w:eastAsia="楷体" w:cs="楷体"/>
                <w:szCs w:val="21"/>
              </w:rPr>
              <w:t>%</w:t>
            </w:r>
          </w:p>
        </w:tc>
      </w:tr>
    </w:tbl>
    <w:p w14:paraId="3699D34C"/>
    <w:p w14:paraId="1468DB07">
      <w:pPr>
        <w:widowControl/>
        <w:spacing w:line="240" w:lineRule="auto"/>
        <w:jc w:val="left"/>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注：甲方是海南洋浦陆海能源发展有限公司，乙方是参与本次询价的报价单位。</w:t>
      </w:r>
    </w:p>
    <w:p w14:paraId="596512A9">
      <w:pPr>
        <w:widowControl/>
        <w:spacing w:line="240"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1、报价单位报价总价金额与单价金额不一致的，以单价金额为准，但单价金额小数点有明显错误的除外；含税价金额与不含税价*税率金额不一致的，</w:t>
      </w:r>
      <w:r>
        <w:rPr>
          <w:rFonts w:hint="eastAsia" w:ascii="楷体" w:hAnsi="楷体" w:eastAsia="楷体" w:cs="楷体"/>
          <w:b/>
          <w:bCs/>
          <w:kern w:val="2"/>
          <w:sz w:val="21"/>
          <w:szCs w:val="21"/>
          <w:lang w:val="en-US" w:eastAsia="zh-CN" w:bidi="ar-SA"/>
        </w:rPr>
        <w:t>以较低的金额为准</w:t>
      </w:r>
      <w:r>
        <w:rPr>
          <w:rFonts w:hint="eastAsia" w:ascii="楷体" w:hAnsi="楷体" w:eastAsia="楷体" w:cs="楷体"/>
          <w:kern w:val="2"/>
          <w:sz w:val="21"/>
          <w:szCs w:val="21"/>
          <w:lang w:val="en-US" w:eastAsia="zh-CN" w:bidi="ar-SA"/>
        </w:rPr>
        <w:t>，但该金额小数点有明显错误的除外。</w:t>
      </w:r>
    </w:p>
    <w:p w14:paraId="72D66808">
      <w:pPr>
        <w:widowControl/>
        <w:numPr>
          <w:ilvl w:val="0"/>
          <w:numId w:val="0"/>
        </w:numPr>
        <w:spacing w:line="240"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2、具体以到场实际合格物资数量为准办理结算；卖方不得以本表价款与买方发生任何经济与法律纠纷，否则视为卖方违约。</w:t>
      </w:r>
    </w:p>
    <w:p w14:paraId="0195D145">
      <w:pPr>
        <w:widowControl/>
        <w:numPr>
          <w:ilvl w:val="0"/>
          <w:numId w:val="0"/>
        </w:numPr>
        <w:spacing w:line="240" w:lineRule="auto"/>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含税单价为含税综合价，包括货物价款、供应商出售该物资应缴纳税金及一切税费、包装费、保险费、运输费、装卸车费以及其他运抵至甲方指定交货地点的一切费用；包括货物被允许用于工程前所需进行的试验、检验费用、售后服务以及市场价格涨幅等的各类风险费用；以及其他所有相关服务费用。需要经安装、测试、调试才能满足本合同质量标准、技术标准要求的，本清单列明的单价、总价均已包括了安装、测试、调试直至满足其质量标准、技术标准要求所需的一切工作内容及其费用支出。报价单位不得以任何理由要求成交后加价。</w:t>
      </w:r>
    </w:p>
    <w:p w14:paraId="5B625514">
      <w:pPr>
        <w:widowControl/>
        <w:numPr>
          <w:ilvl w:val="0"/>
          <w:numId w:val="0"/>
        </w:numPr>
        <w:spacing w:line="240" w:lineRule="auto"/>
        <w:jc w:val="left"/>
      </w:pPr>
      <w:r>
        <w:rPr>
          <w:rFonts w:hint="eastAsia" w:ascii="楷体" w:hAnsi="楷体" w:eastAsia="楷体" w:cs="楷体"/>
          <w:kern w:val="2"/>
          <w:sz w:val="21"/>
          <w:szCs w:val="21"/>
          <w:lang w:val="en-US" w:eastAsia="zh-CN" w:bidi="ar-SA"/>
        </w:rPr>
        <w:t>4、结算方式：乙方在缴纳足额履约保证金且所送货物验收合格(乙方须提供质量合格证书)后，甲方付款至双方结算金额的70%，待该批次货物安装与系统调试使用合格后，甲方支付至双方结算金额的97%，剩余3%作为质保金。质保期前三年不退还质保金，从第四年开始每年无息退还质保金的20%,6年质保期结束后退还剩余全部质保金。质保金可使用银行保函,(甲方可通过银行转账、银行承兑汇票的方式支付，如甲方以银行承兑方式支付货款的，承兑贴现利息由甲方承担)。</w:t>
      </w:r>
    </w:p>
    <w:p w14:paraId="5D8514BA">
      <w:pPr>
        <w:spacing w:line="520" w:lineRule="exact"/>
        <w:ind w:firstLine="4080" w:firstLineChars="1700"/>
        <w:rPr>
          <w:rFonts w:hint="eastAsia" w:ascii="楷体" w:hAnsi="楷体" w:eastAsia="楷体" w:cs="楷体"/>
          <w:sz w:val="24"/>
        </w:rPr>
      </w:pPr>
      <w:r>
        <w:rPr>
          <w:rFonts w:hint="eastAsia" w:ascii="楷体" w:hAnsi="楷体" w:eastAsia="楷体" w:cs="楷体"/>
          <w:sz w:val="24"/>
        </w:rPr>
        <w:t>报价单位（盖章）：</w:t>
      </w:r>
    </w:p>
    <w:p w14:paraId="7B519E86">
      <w:pPr>
        <w:spacing w:line="520" w:lineRule="exact"/>
        <w:jc w:val="center"/>
        <w:rPr>
          <w:rFonts w:hint="eastAsia"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 xml:space="preserve"> </w:t>
      </w:r>
      <w:r>
        <w:rPr>
          <w:rFonts w:hint="eastAsia" w:ascii="楷体" w:hAnsi="楷体" w:eastAsia="楷体" w:cs="楷体"/>
          <w:sz w:val="24"/>
        </w:rPr>
        <w:t>法定代表或授权代表（</w:t>
      </w:r>
      <w:r>
        <w:rPr>
          <w:rFonts w:hint="eastAsia" w:ascii="楷体" w:hAnsi="楷体" w:eastAsia="楷体" w:cs="楷体"/>
          <w:sz w:val="24"/>
          <w:lang w:val="en-US" w:eastAsia="zh-CN"/>
        </w:rPr>
        <w:t>签字或盖章</w:t>
      </w:r>
      <w:r>
        <w:rPr>
          <w:rFonts w:hint="eastAsia" w:ascii="楷体" w:hAnsi="楷体" w:eastAsia="楷体" w:cs="楷体"/>
          <w:sz w:val="24"/>
        </w:rPr>
        <w:t>）：</w:t>
      </w:r>
    </w:p>
    <w:p w14:paraId="4544D3E6">
      <w:pPr>
        <w:spacing w:line="520" w:lineRule="exact"/>
        <w:jc w:val="center"/>
        <w:rPr>
          <w:rFonts w:hint="eastAsia" w:ascii="楷体" w:hAnsi="楷体" w:eastAsia="楷体" w:cs="楷体"/>
          <w:sz w:val="24"/>
          <w:lang w:val="en-US" w:eastAsia="zh-CN"/>
        </w:rPr>
      </w:pPr>
      <w:r>
        <w:rPr>
          <w:rFonts w:hint="eastAsia" w:ascii="楷体" w:hAnsi="楷体" w:eastAsia="楷体" w:cs="楷体"/>
          <w:sz w:val="24"/>
          <w:lang w:val="en-US" w:eastAsia="zh-CN"/>
        </w:rPr>
        <w:t xml:space="preserve">        联系方式：</w:t>
      </w:r>
    </w:p>
    <w:p w14:paraId="25AAABE6">
      <w:pPr>
        <w:spacing w:line="520" w:lineRule="exact"/>
        <w:jc w:val="center"/>
        <w:rPr>
          <w:rFonts w:hint="eastAsia" w:ascii="楷体" w:hAnsi="楷体" w:eastAsia="楷体" w:cs="楷体"/>
          <w:sz w:val="24"/>
        </w:rPr>
      </w:pPr>
      <w:r>
        <w:rPr>
          <w:rFonts w:hint="eastAsia" w:ascii="楷体" w:hAnsi="楷体" w:eastAsia="楷体" w:cs="楷体"/>
          <w:sz w:val="24"/>
        </w:rPr>
        <w:t xml:space="preserve">                   日期：     年  月  日</w:t>
      </w:r>
    </w:p>
    <w:p w14:paraId="51F6DC1F">
      <w:pPr>
        <w:rPr>
          <w:rFonts w:hint="eastAsia" w:ascii="楷体" w:hAnsi="楷体" w:eastAsia="楷体" w:cs="楷体"/>
          <w:sz w:val="24"/>
          <w:szCs w:val="24"/>
        </w:rPr>
      </w:pPr>
      <w:r>
        <w:rPr>
          <w:rFonts w:hint="eastAsia" w:ascii="仿宋" w:hAnsi="仿宋" w:eastAsia="仿宋" w:cs="仿宋"/>
          <w:sz w:val="24"/>
        </w:rPr>
        <w:br w:type="page"/>
      </w:r>
    </w:p>
    <w:p w14:paraId="0F73D1BB">
      <w:pPr>
        <w:pStyle w:val="4"/>
        <w:rPr>
          <w:rFonts w:hint="eastAsia" w:ascii="楷体" w:hAnsi="楷体" w:eastAsia="楷体" w:cs="楷体"/>
        </w:rPr>
        <w:sectPr>
          <w:pgSz w:w="11906" w:h="16838"/>
          <w:pgMar w:top="1440" w:right="1800" w:bottom="1247" w:left="1800" w:header="851" w:footer="992" w:gutter="0"/>
          <w:cols w:space="0" w:num="1"/>
          <w:docGrid w:type="lines" w:linePitch="312" w:charSpace="0"/>
        </w:sectPr>
      </w:pPr>
    </w:p>
    <w:p w14:paraId="7338E61F">
      <w:pPr>
        <w:pStyle w:val="29"/>
        <w:spacing w:before="156" w:beforeLines="50" w:line="360" w:lineRule="auto"/>
        <w:ind w:firstLine="0" w:firstLineChars="0"/>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二、报价承诺函</w:t>
      </w:r>
    </w:p>
    <w:p w14:paraId="721DEECD">
      <w:pPr>
        <w:snapToGrid w:val="0"/>
        <w:spacing w:line="400" w:lineRule="exact"/>
        <w:jc w:val="left"/>
        <w:rPr>
          <w:rFonts w:hint="eastAsia" w:ascii="楷体" w:hAnsi="楷体" w:eastAsia="楷体" w:cs="楷体"/>
          <w:sz w:val="24"/>
          <w:szCs w:val="24"/>
        </w:rPr>
      </w:pPr>
      <w:r>
        <w:rPr>
          <w:rFonts w:hint="eastAsia" w:ascii="楷体" w:hAnsi="楷体" w:eastAsia="楷体" w:cs="楷体"/>
          <w:sz w:val="24"/>
          <w:szCs w:val="24"/>
        </w:rPr>
        <w:t>海南洋浦陆海能源发展有限公司：</w:t>
      </w:r>
    </w:p>
    <w:p w14:paraId="566C90B1">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我单位对贵单位所发的公开询价报价文件所有条款予以确认，并进一步承诺如下：</w:t>
      </w:r>
    </w:p>
    <w:p w14:paraId="257A6BF2">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1、我单位所报的单价，已充分考虑了公开询价报价文件及采购合同要求成交单位应承担的所有义务及风险，由此造成或可能造成的费用我方已包含在报价中。</w:t>
      </w:r>
    </w:p>
    <w:p w14:paraId="1D1BB4CE">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2、若我单位成交，除非贵单位要求，我单位将不主动要求调整采购合同条款。否则，贵单位可以随时取消我单位的成交资格。</w:t>
      </w:r>
    </w:p>
    <w:p w14:paraId="1B308264">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3、我单位承诺不会因贵方对采购合同中的承包范围的调整而产生的异议。</w:t>
      </w:r>
    </w:p>
    <w:p w14:paraId="6A11514E">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4、我单位的《报价承诺函》，将作为合同的组成部分。</w:t>
      </w:r>
    </w:p>
    <w:p w14:paraId="5AFEFEDA">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5、若我单位没有成交，我单位将不要求贵方做任何解释。</w:t>
      </w:r>
    </w:p>
    <w:p w14:paraId="49A6A18C">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6、若我单位成交，我单位同意本确认函及所有文件作为合同的组成部分，与供货合同具有同样的法律效力。</w:t>
      </w:r>
    </w:p>
    <w:p w14:paraId="4304BEA2">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7、我单位将严格按照贵单位的要求提供工程所需材料及品牌要求，在供货过程中确保材料复试检测合格，如出现质量问题我单位将及时调换合格材料进场，如因材料质量问题而造成工期延误，我单位承诺接受按照合同违约条款进行处罚，在供货过程中保证供应材料为询比价文件中要求的厂家生产的合格材料，各类质量资料随货同行，并保证各类质量资料真实有效。</w:t>
      </w:r>
    </w:p>
    <w:p w14:paraId="19372E31">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8、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按照合同违约条款进行处罚。</w:t>
      </w:r>
    </w:p>
    <w:p w14:paraId="6B094F56">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9、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4AC23FE2">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10、我单位郑重承诺：我单位对公开询价报价单位提供的公开询价报价文件及合同条款完全接受和遵守。</w:t>
      </w:r>
    </w:p>
    <w:p w14:paraId="7C28D0B8">
      <w:pPr>
        <w:snapToGrid w:val="0"/>
        <w:spacing w:line="400" w:lineRule="exact"/>
        <w:ind w:firstLine="480" w:firstLineChars="200"/>
        <w:jc w:val="left"/>
        <w:rPr>
          <w:rFonts w:hint="eastAsia" w:ascii="楷体" w:hAnsi="楷体" w:eastAsia="楷体" w:cs="楷体"/>
          <w:sz w:val="24"/>
          <w:szCs w:val="24"/>
        </w:rPr>
      </w:pPr>
      <w:r>
        <w:rPr>
          <w:rFonts w:hint="eastAsia" w:ascii="楷体" w:hAnsi="楷体" w:eastAsia="楷体" w:cs="楷体"/>
          <w:sz w:val="24"/>
          <w:szCs w:val="24"/>
        </w:rPr>
        <w:t>11、我单位承诺同意按照贵单位要求办理结算及支付方式；承诺按所提供本单位银行开户许可证的开户行名称及帐号接收结算款，保证不使用委托收款。</w:t>
      </w:r>
    </w:p>
    <w:p w14:paraId="46C21476">
      <w:pPr>
        <w:spacing w:line="520" w:lineRule="exact"/>
        <w:ind w:firstLine="4080" w:firstLineChars="1700"/>
        <w:rPr>
          <w:rFonts w:hint="eastAsia" w:ascii="楷体" w:hAnsi="楷体" w:eastAsia="楷体" w:cs="楷体"/>
          <w:sz w:val="24"/>
        </w:rPr>
      </w:pPr>
      <w:r>
        <w:rPr>
          <w:rFonts w:hint="eastAsia" w:ascii="楷体" w:hAnsi="楷体" w:eastAsia="楷体" w:cs="楷体"/>
          <w:sz w:val="24"/>
        </w:rPr>
        <w:t>报价单位（盖章）：</w:t>
      </w:r>
    </w:p>
    <w:p w14:paraId="11B26E0D">
      <w:pPr>
        <w:spacing w:line="520" w:lineRule="exact"/>
        <w:jc w:val="center"/>
        <w:rPr>
          <w:rFonts w:hint="eastAsia"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 xml:space="preserve"> </w:t>
      </w:r>
      <w:r>
        <w:rPr>
          <w:rFonts w:hint="eastAsia" w:ascii="楷体" w:hAnsi="楷体" w:eastAsia="楷体" w:cs="楷体"/>
          <w:sz w:val="24"/>
        </w:rPr>
        <w:t>法定代表或授权代表（</w:t>
      </w:r>
      <w:r>
        <w:rPr>
          <w:rFonts w:hint="eastAsia" w:ascii="楷体" w:hAnsi="楷体" w:eastAsia="楷体" w:cs="楷体"/>
          <w:sz w:val="24"/>
          <w:lang w:val="en-US" w:eastAsia="zh-CN"/>
        </w:rPr>
        <w:t>签字或盖章</w:t>
      </w:r>
      <w:r>
        <w:rPr>
          <w:rFonts w:hint="eastAsia" w:ascii="楷体" w:hAnsi="楷体" w:eastAsia="楷体" w:cs="楷体"/>
          <w:sz w:val="24"/>
        </w:rPr>
        <w:t>）：</w:t>
      </w:r>
    </w:p>
    <w:p w14:paraId="590B77F4">
      <w:pPr>
        <w:spacing w:line="520" w:lineRule="exact"/>
        <w:jc w:val="center"/>
        <w:rPr>
          <w:rFonts w:hint="eastAsia" w:ascii="楷体" w:hAnsi="楷体" w:eastAsia="楷体" w:cs="楷体"/>
          <w:sz w:val="24"/>
          <w:lang w:val="en-US" w:eastAsia="zh-CN"/>
        </w:rPr>
      </w:pPr>
      <w:r>
        <w:rPr>
          <w:rFonts w:hint="eastAsia" w:ascii="楷体" w:hAnsi="楷体" w:eastAsia="楷体" w:cs="楷体"/>
          <w:sz w:val="24"/>
          <w:lang w:val="en-US" w:eastAsia="zh-CN"/>
        </w:rPr>
        <w:t xml:space="preserve">        联系方式：</w:t>
      </w:r>
    </w:p>
    <w:p w14:paraId="09AA4B9C">
      <w:pPr>
        <w:spacing w:line="520" w:lineRule="exact"/>
        <w:jc w:val="center"/>
        <w:rPr>
          <w:rFonts w:hint="eastAsia" w:ascii="仿宋" w:hAnsi="仿宋" w:eastAsia="仿宋"/>
          <w:sz w:val="24"/>
          <w:szCs w:val="24"/>
        </w:rPr>
      </w:pPr>
      <w:r>
        <w:rPr>
          <w:rFonts w:hint="eastAsia" w:ascii="楷体" w:hAnsi="楷体" w:eastAsia="楷体" w:cs="楷体"/>
          <w:sz w:val="24"/>
        </w:rPr>
        <w:t xml:space="preserve">                   日期：     年  月  日</w:t>
      </w:r>
      <w:r>
        <w:rPr>
          <w:rFonts w:hint="eastAsia" w:ascii="楷体" w:hAnsi="楷体" w:eastAsia="楷体" w:cs="楷体"/>
          <w:sz w:val="24"/>
          <w:szCs w:val="24"/>
        </w:rPr>
        <w:t xml:space="preserve">                             </w:t>
      </w:r>
      <w:r>
        <w:rPr>
          <w:rFonts w:hint="eastAsia" w:ascii="仿宋" w:hAnsi="仿宋" w:eastAsia="仿宋"/>
          <w:sz w:val="24"/>
          <w:szCs w:val="24"/>
        </w:rPr>
        <w:br w:type="page"/>
      </w:r>
    </w:p>
    <w:p w14:paraId="371A8A69">
      <w:pPr>
        <w:pStyle w:val="29"/>
        <w:spacing w:before="156" w:beforeLines="50" w:line="360" w:lineRule="auto"/>
        <w:ind w:firstLine="0" w:firstLineChars="0"/>
        <w:jc w:val="center"/>
        <w:rPr>
          <w:rFonts w:hint="eastAsia" w:ascii="仿宋" w:hAnsi="仿宋" w:eastAsia="仿宋"/>
          <w:b/>
          <w:bCs/>
          <w:sz w:val="30"/>
          <w:szCs w:val="30"/>
          <w:lang w:val="en-US" w:eastAsia="zh-CN"/>
        </w:rPr>
      </w:pPr>
    </w:p>
    <w:p w14:paraId="29118C3E">
      <w:pPr>
        <w:pStyle w:val="29"/>
        <w:spacing w:before="156" w:beforeLines="50" w:line="360" w:lineRule="auto"/>
        <w:ind w:firstLine="0" w:firstLineChars="0"/>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三、法定代表人授权书</w:t>
      </w:r>
    </w:p>
    <w:p w14:paraId="33B7B809">
      <w:pPr>
        <w:spacing w:line="240" w:lineRule="auto"/>
        <w:rPr>
          <w:rFonts w:hint="eastAsia"/>
        </w:rPr>
      </w:pPr>
    </w:p>
    <w:p w14:paraId="46CF2E10">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海南洋浦陆海能源发展有限公司</w:t>
      </w:r>
    </w:p>
    <w:p w14:paraId="5B3C2ACD">
      <w:pPr>
        <w:keepNext w:val="0"/>
        <w:keepLines w:val="0"/>
        <w:pageBreakBefore w:val="0"/>
        <w:widowControl w:val="0"/>
        <w:kinsoku/>
        <w:wordWrap/>
        <w:overflowPunct/>
        <w:topLinePunct w:val="0"/>
        <w:autoSpaceDE/>
        <w:autoSpaceDN/>
        <w:bidi w:val="0"/>
        <w:adjustRightInd/>
        <w:snapToGrid w:val="0"/>
        <w:spacing w:line="42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海南洋浦陆海能源发展有限公司</w:t>
      </w:r>
      <w:r>
        <w:rPr>
          <w:rFonts w:hint="eastAsia" w:ascii="楷体" w:hAnsi="楷体" w:eastAsia="楷体" w:cs="楷体"/>
          <w:sz w:val="24"/>
          <w:szCs w:val="24"/>
          <w:u w:val="single"/>
          <w:lang w:val="en-US" w:eastAsia="zh-CN"/>
        </w:rPr>
        <w:t>超声波水表</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14:paraId="432E3451">
      <w:pPr>
        <w:snapToGrid w:val="0"/>
        <w:spacing w:line="240" w:lineRule="auto"/>
        <w:ind w:firstLine="584"/>
        <w:jc w:val="left"/>
        <w:rPr>
          <w:rFonts w:hint="eastAsia" w:ascii="楷体" w:hAnsi="楷体" w:eastAsia="楷体" w:cs="楷体"/>
          <w:sz w:val="24"/>
          <w:szCs w:val="24"/>
        </w:rPr>
      </w:pPr>
    </w:p>
    <w:p w14:paraId="08506821">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14:paraId="3C39DA2F">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14:paraId="77941E2A">
      <w:pPr>
        <w:snapToGrid w:val="0"/>
        <w:spacing w:line="480" w:lineRule="auto"/>
        <w:ind w:firstLine="482" w:firstLineChars="200"/>
        <w:jc w:val="left"/>
        <w:rPr>
          <w:rFonts w:hint="eastAsia" w:ascii="楷体" w:hAnsi="楷体" w:eastAsia="楷体" w:cs="楷体"/>
          <w:b/>
          <w:bCs/>
          <w:sz w:val="24"/>
          <w:szCs w:val="24"/>
        </w:rPr>
      </w:pPr>
      <w:r>
        <w:rPr>
          <w:rFonts w:hint="eastAsia" w:ascii="楷体" w:hAnsi="楷体" w:eastAsia="楷体" w:cs="楷体"/>
          <w:b/>
          <w:bCs/>
          <w:sz w:val="24"/>
          <w:szCs w:val="24"/>
          <w:lang w:val="en-US" w:eastAsia="zh-CN"/>
        </w:rPr>
        <w:t>附：法定代表人及授权委托人身份证。</w:t>
      </w:r>
      <w:r>
        <w:rPr>
          <w:rFonts w:hint="eastAsia" w:ascii="楷体" w:hAnsi="楷体" w:eastAsia="楷体" w:cs="楷体"/>
          <w:b/>
          <w:bCs/>
          <w:sz w:val="24"/>
          <w:szCs w:val="24"/>
        </w:rPr>
        <w:t xml:space="preserve"> </w:t>
      </w:r>
    </w:p>
    <w:p w14:paraId="58BF114D">
      <w:pPr>
        <w:snapToGrid w:val="0"/>
        <w:spacing w:line="480" w:lineRule="auto"/>
        <w:ind w:firstLine="480" w:firstLineChars="200"/>
        <w:jc w:val="center"/>
        <w:rPr>
          <w:rFonts w:hint="eastAsia" w:ascii="楷体" w:hAnsi="楷体" w:eastAsia="楷体" w:cs="楷体"/>
          <w:sz w:val="24"/>
          <w:szCs w:val="24"/>
        </w:rPr>
      </w:pPr>
    </w:p>
    <w:p w14:paraId="46C0C8CB">
      <w:pPr>
        <w:snapToGrid w:val="0"/>
        <w:spacing w:line="480" w:lineRule="auto"/>
        <w:ind w:firstLine="480" w:firstLineChars="200"/>
        <w:jc w:val="center"/>
        <w:rPr>
          <w:rFonts w:hint="eastAsia" w:ascii="楷体" w:hAnsi="楷体" w:eastAsia="楷体" w:cs="楷体"/>
          <w:sz w:val="24"/>
          <w:szCs w:val="24"/>
        </w:rPr>
      </w:pPr>
    </w:p>
    <w:p w14:paraId="3CCC93B4">
      <w:pPr>
        <w:snapToGrid w:val="0"/>
        <w:spacing w:line="480" w:lineRule="auto"/>
        <w:ind w:firstLine="480" w:firstLineChars="200"/>
        <w:jc w:val="center"/>
        <w:rPr>
          <w:rFonts w:hint="eastAsia" w:ascii="楷体" w:hAnsi="楷体" w:eastAsia="楷体" w:cs="楷体"/>
          <w:sz w:val="24"/>
          <w:szCs w:val="24"/>
        </w:rPr>
      </w:pPr>
    </w:p>
    <w:p w14:paraId="0B009424">
      <w:pPr>
        <w:snapToGrid w:val="0"/>
        <w:spacing w:line="480" w:lineRule="auto"/>
        <w:ind w:firstLine="480" w:firstLineChars="200"/>
        <w:jc w:val="center"/>
        <w:rPr>
          <w:rFonts w:hint="eastAsia" w:ascii="楷体" w:hAnsi="楷体" w:eastAsia="楷体" w:cs="楷体"/>
          <w:sz w:val="24"/>
          <w:szCs w:val="24"/>
        </w:rPr>
      </w:pPr>
    </w:p>
    <w:p w14:paraId="199283EE">
      <w:pPr>
        <w:snapToGrid w:val="0"/>
        <w:spacing w:line="480" w:lineRule="auto"/>
        <w:ind w:firstLine="480" w:firstLineChars="200"/>
        <w:jc w:val="center"/>
        <w:rPr>
          <w:rFonts w:hint="eastAsia" w:ascii="楷体" w:hAnsi="楷体" w:eastAsia="楷体" w:cs="楷体"/>
          <w:sz w:val="24"/>
          <w:szCs w:val="24"/>
        </w:rPr>
      </w:pPr>
    </w:p>
    <w:p w14:paraId="43E6F648">
      <w:pPr>
        <w:snapToGrid w:val="0"/>
        <w:spacing w:line="480" w:lineRule="auto"/>
        <w:ind w:firstLine="480" w:firstLineChars="200"/>
        <w:jc w:val="center"/>
        <w:rPr>
          <w:rFonts w:hint="eastAsia" w:ascii="楷体" w:hAnsi="楷体" w:eastAsia="楷体" w:cs="楷体"/>
          <w:kern w:val="2"/>
          <w:sz w:val="24"/>
          <w:szCs w:val="22"/>
          <w:lang w:val="en-US" w:eastAsia="zh-CN" w:bidi="ar-SA"/>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w:t>
      </w:r>
      <w:r>
        <w:rPr>
          <w:rFonts w:hint="eastAsia" w:ascii="楷体" w:hAnsi="楷体" w:eastAsia="楷体" w:cs="楷体"/>
          <w:kern w:val="2"/>
          <w:sz w:val="24"/>
          <w:szCs w:val="22"/>
          <w:lang w:val="en-US" w:eastAsia="zh-CN" w:bidi="ar-SA"/>
        </w:rPr>
        <w:t>定代表人(签字)：</w:t>
      </w:r>
    </w:p>
    <w:p w14:paraId="1E30C848">
      <w:pPr>
        <w:snapToGrid w:val="0"/>
        <w:spacing w:line="480" w:lineRule="auto"/>
        <w:ind w:firstLine="480" w:firstLineChars="200"/>
        <w:jc w:val="center"/>
        <w:rPr>
          <w:rFonts w:hint="eastAsia" w:ascii="楷体" w:hAnsi="楷体" w:eastAsia="楷体" w:cs="楷体"/>
          <w:kern w:val="2"/>
          <w:sz w:val="24"/>
          <w:szCs w:val="22"/>
          <w:lang w:val="en-US" w:eastAsia="zh-CN" w:bidi="ar-SA"/>
        </w:rPr>
      </w:pPr>
      <w:r>
        <w:rPr>
          <w:rFonts w:hint="eastAsia" w:ascii="楷体" w:hAnsi="楷体" w:eastAsia="楷体" w:cs="楷体"/>
          <w:kern w:val="2"/>
          <w:sz w:val="24"/>
          <w:szCs w:val="22"/>
          <w:lang w:val="en-US" w:eastAsia="zh-CN" w:bidi="ar-SA"/>
        </w:rPr>
        <w:t xml:space="preserve">             被授权人(签字)：</w:t>
      </w:r>
    </w:p>
    <w:p w14:paraId="2113FADF">
      <w:pPr>
        <w:snapToGrid w:val="0"/>
        <w:spacing w:line="480" w:lineRule="auto"/>
        <w:ind w:firstLine="480" w:firstLineChars="200"/>
        <w:jc w:val="center"/>
        <w:rPr>
          <w:rFonts w:hint="eastAsia" w:ascii="楷体" w:hAnsi="楷体" w:eastAsia="楷体" w:cs="楷体"/>
          <w:kern w:val="2"/>
          <w:sz w:val="24"/>
          <w:szCs w:val="22"/>
          <w:lang w:val="en-US" w:eastAsia="zh-CN" w:bidi="ar-SA"/>
        </w:rPr>
      </w:pPr>
      <w:r>
        <w:rPr>
          <w:rFonts w:hint="eastAsia" w:ascii="楷体" w:hAnsi="楷体" w:eastAsia="楷体" w:cs="楷体"/>
          <w:kern w:val="2"/>
          <w:sz w:val="24"/>
          <w:szCs w:val="22"/>
          <w:lang w:val="en-US" w:eastAsia="zh-CN" w:bidi="ar-SA"/>
        </w:rPr>
        <w:t xml:space="preserve">                 授权单位名称（盖章）：</w:t>
      </w:r>
    </w:p>
    <w:p w14:paraId="17FCB585">
      <w:pPr>
        <w:snapToGrid w:val="0"/>
        <w:spacing w:line="480" w:lineRule="auto"/>
        <w:ind w:firstLine="480" w:firstLineChars="200"/>
        <w:rPr>
          <w:rFonts w:hint="eastAsia" w:ascii="楷体" w:hAnsi="楷体" w:eastAsia="楷体" w:cs="楷体"/>
          <w:kern w:val="2"/>
          <w:sz w:val="24"/>
          <w:szCs w:val="22"/>
          <w:lang w:val="en-US" w:eastAsia="zh-CN" w:bidi="ar-SA"/>
        </w:rPr>
      </w:pPr>
      <w:r>
        <w:rPr>
          <w:rFonts w:hint="eastAsia" w:ascii="楷体" w:hAnsi="楷体" w:eastAsia="楷体" w:cs="楷体"/>
          <w:kern w:val="2"/>
          <w:sz w:val="24"/>
          <w:szCs w:val="22"/>
          <w:lang w:val="en-US" w:eastAsia="zh-CN" w:bidi="ar-SA"/>
        </w:rPr>
        <w:t xml:space="preserve">                                联系电话：</w:t>
      </w:r>
    </w:p>
    <w:p w14:paraId="4DE93E9E">
      <w:pPr>
        <w:rPr>
          <w:rFonts w:hint="eastAsia" w:ascii="仿宋" w:hAnsi="仿宋" w:eastAsia="仿宋"/>
          <w:b/>
          <w:bCs/>
          <w:sz w:val="30"/>
          <w:szCs w:val="30"/>
          <w:lang w:val="en-US" w:eastAsia="zh-CN"/>
        </w:rPr>
      </w:pPr>
    </w:p>
    <w:p w14:paraId="73E9FD47">
      <w:pPr>
        <w:pStyle w:val="29"/>
        <w:spacing w:before="156" w:beforeLines="50" w:line="360" w:lineRule="auto"/>
        <w:ind w:firstLine="0" w:firstLineChars="0"/>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四、无重大违法记录声明函</w:t>
      </w:r>
    </w:p>
    <w:p w14:paraId="7A1346DB">
      <w:pPr>
        <w:pStyle w:val="29"/>
        <w:spacing w:line="360" w:lineRule="auto"/>
        <w:ind w:firstLine="480"/>
        <w:jc w:val="left"/>
        <w:rPr>
          <w:rFonts w:hint="eastAsia" w:ascii="仿宋" w:hAnsi="仿宋" w:eastAsia="仿宋"/>
          <w:sz w:val="24"/>
          <w:szCs w:val="24"/>
        </w:rPr>
      </w:pPr>
      <w:r>
        <w:rPr>
          <w:rFonts w:hint="eastAsia" w:ascii="仿宋" w:hAnsi="仿宋" w:eastAsia="仿宋"/>
          <w:sz w:val="24"/>
          <w:szCs w:val="24"/>
        </w:rPr>
        <w:t>近三年内参加过的政府采购和招投标活动中没有重大违法记录（提供声明函（格式自拟），供应商注册成立时间不足三年的，从注册时间起算），以下为格式参考：</w:t>
      </w:r>
    </w:p>
    <w:p w14:paraId="1A87356A">
      <w:pPr>
        <w:pStyle w:val="29"/>
        <w:spacing w:line="360" w:lineRule="auto"/>
        <w:ind w:firstLine="480"/>
        <w:jc w:val="left"/>
        <w:rPr>
          <w:rFonts w:hint="eastAsia" w:ascii="仿宋" w:hAnsi="仿宋" w:eastAsia="仿宋"/>
          <w:sz w:val="24"/>
          <w:szCs w:val="24"/>
        </w:rPr>
      </w:pPr>
      <w:r>
        <w:rPr>
          <w:rFonts w:hint="eastAsia" w:ascii="仿宋" w:hAnsi="仿宋" w:eastAsia="仿宋"/>
          <w:sz w:val="24"/>
          <w:szCs w:val="24"/>
        </w:rPr>
        <w:t xml:space="preserve"> </w:t>
      </w:r>
    </w:p>
    <w:p w14:paraId="2A397F23">
      <w:pPr>
        <w:pStyle w:val="29"/>
        <w:spacing w:line="360" w:lineRule="auto"/>
        <w:ind w:firstLine="0" w:firstLineChars="0"/>
        <w:jc w:val="center"/>
        <w:rPr>
          <w:rFonts w:hint="eastAsia" w:ascii="宋体" w:hAnsi="宋体"/>
          <w:b/>
          <w:bCs/>
          <w:kern w:val="44"/>
          <w:sz w:val="32"/>
          <w:szCs w:val="32"/>
        </w:rPr>
      </w:pPr>
      <w:r>
        <w:rPr>
          <w:rFonts w:hint="eastAsia" w:ascii="宋体" w:hAnsi="宋体"/>
          <w:b/>
          <w:bCs/>
          <w:kern w:val="44"/>
          <w:sz w:val="32"/>
          <w:szCs w:val="32"/>
        </w:rPr>
        <w:t>声明函</w:t>
      </w:r>
    </w:p>
    <w:p w14:paraId="6BEF485F">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海南洋浦陆海能源发展有限公司 ：</w:t>
      </w:r>
    </w:p>
    <w:p w14:paraId="76E10884">
      <w:pPr>
        <w:pStyle w:val="29"/>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7B370343">
      <w:pPr>
        <w:pStyle w:val="29"/>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附：未被列入中国执行信息公开网（http://zxgk.court.gov.cn/）的“失信被执行人”名单和国家企业信用信息公示系统“严重违法失信名单（黑名单）”的查询结果网页截图并加盖单位公章）。</w:t>
      </w:r>
    </w:p>
    <w:p w14:paraId="273C3C94">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7ED3EEC3">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7E210FD7">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34A289F2">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4A891FD6">
      <w:pPr>
        <w:pStyle w:val="41"/>
        <w:spacing w:line="360" w:lineRule="auto"/>
        <w:ind w:firstLine="1200" w:firstLineChars="500"/>
        <w:jc w:val="center"/>
        <w:rPr>
          <w:rFonts w:hint="eastAsia" w:ascii="楷体" w:hAnsi="楷体" w:eastAsia="楷体" w:cs="楷体"/>
          <w:kern w:val="2"/>
          <w:sz w:val="24"/>
          <w:szCs w:val="22"/>
          <w:lang w:val="en-US" w:eastAsia="zh-CN" w:bidi="ar-SA"/>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楷体" w:hAnsi="楷体" w:eastAsia="楷体" w:cs="楷体"/>
          <w:kern w:val="2"/>
          <w:sz w:val="24"/>
          <w:szCs w:val="22"/>
          <w:lang w:val="en-US" w:eastAsia="zh-CN" w:bidi="ar-SA"/>
        </w:rPr>
        <w:t xml:space="preserve"> 报价单位：            （盖单位章）</w:t>
      </w:r>
    </w:p>
    <w:p w14:paraId="5FD18D0D">
      <w:pPr>
        <w:pStyle w:val="41"/>
        <w:spacing w:line="360" w:lineRule="auto"/>
        <w:ind w:firstLine="1200" w:firstLineChars="500"/>
        <w:jc w:val="right"/>
        <w:rPr>
          <w:rFonts w:hint="eastAsia" w:ascii="楷体" w:hAnsi="楷体" w:eastAsia="楷体" w:cs="楷体"/>
          <w:kern w:val="2"/>
          <w:sz w:val="24"/>
          <w:szCs w:val="22"/>
          <w:lang w:val="en-US" w:eastAsia="zh-CN" w:bidi="ar-SA"/>
        </w:rPr>
      </w:pPr>
      <w:r>
        <w:rPr>
          <w:rFonts w:hint="eastAsia" w:ascii="楷体" w:hAnsi="楷体" w:eastAsia="楷体" w:cs="楷体"/>
          <w:kern w:val="2"/>
          <w:sz w:val="24"/>
          <w:szCs w:val="22"/>
          <w:lang w:val="en-US" w:eastAsia="zh-CN" w:bidi="ar-SA"/>
        </w:rPr>
        <w:t xml:space="preserve"> </w:t>
      </w:r>
    </w:p>
    <w:p w14:paraId="310B488F">
      <w:pPr>
        <w:pStyle w:val="41"/>
        <w:spacing w:line="360" w:lineRule="auto"/>
        <w:ind w:firstLine="1200" w:firstLineChars="500"/>
        <w:jc w:val="center"/>
        <w:rPr>
          <w:rFonts w:hint="eastAsia" w:ascii="楷体" w:hAnsi="楷体" w:eastAsia="楷体" w:cs="楷体"/>
          <w:kern w:val="2"/>
          <w:sz w:val="24"/>
          <w:szCs w:val="22"/>
          <w:lang w:val="en-US" w:eastAsia="zh-CN" w:bidi="ar-SA"/>
        </w:rPr>
      </w:pPr>
      <w:r>
        <w:rPr>
          <w:rFonts w:hint="eastAsia" w:ascii="楷体" w:hAnsi="楷体" w:eastAsia="楷体" w:cs="楷体"/>
          <w:kern w:val="2"/>
          <w:sz w:val="24"/>
          <w:szCs w:val="22"/>
          <w:lang w:val="en-US" w:eastAsia="zh-CN" w:bidi="ar-SA"/>
        </w:rPr>
        <w:t xml:space="preserve">                      法定代表人或其被授权人：（签字）</w:t>
      </w:r>
    </w:p>
    <w:p w14:paraId="70851800">
      <w:pPr>
        <w:pStyle w:val="41"/>
        <w:spacing w:line="360" w:lineRule="auto"/>
        <w:ind w:firstLine="482"/>
        <w:jc w:val="right"/>
        <w:rPr>
          <w:rFonts w:hint="eastAsia" w:ascii="仿宋" w:hAnsi="仿宋" w:eastAsia="仿宋"/>
          <w:sz w:val="24"/>
          <w:szCs w:val="24"/>
        </w:rPr>
      </w:pPr>
      <w:r>
        <w:rPr>
          <w:rFonts w:hint="eastAsia" w:ascii="仿宋" w:hAnsi="仿宋" w:eastAsia="仿宋"/>
          <w:sz w:val="24"/>
          <w:szCs w:val="24"/>
        </w:rPr>
        <w:t xml:space="preserve"> </w:t>
      </w:r>
    </w:p>
    <w:p w14:paraId="26C9987C">
      <w:pPr>
        <w:pStyle w:val="29"/>
        <w:spacing w:line="360" w:lineRule="auto"/>
        <w:ind w:firstLine="4080" w:firstLineChars="1700"/>
        <w:jc w:val="left"/>
        <w:rPr>
          <w:rFonts w:hint="eastAsia" w:ascii="仿宋" w:hAnsi="仿宋" w:eastAsia="仿宋"/>
          <w:kern w:val="44"/>
          <w:sz w:val="24"/>
          <w:szCs w:val="24"/>
        </w:rPr>
      </w:pPr>
      <w:r>
        <w:rPr>
          <w:rFonts w:hint="eastAsia" w:ascii="楷体" w:hAnsi="楷体" w:eastAsia="楷体" w:cs="楷体"/>
          <w:sz w:val="24"/>
        </w:rPr>
        <w:t>日期：     年  月  日</w:t>
      </w:r>
      <w:r>
        <w:rPr>
          <w:rFonts w:hint="eastAsia" w:ascii="楷体" w:hAnsi="楷体" w:eastAsia="楷体" w:cs="楷体"/>
          <w:sz w:val="24"/>
          <w:szCs w:val="24"/>
        </w:rPr>
        <w:t xml:space="preserve">  </w:t>
      </w:r>
      <w:r>
        <w:rPr>
          <w:rFonts w:hint="eastAsia" w:ascii="仿宋" w:hAnsi="仿宋" w:eastAsia="仿宋"/>
          <w:kern w:val="44"/>
          <w:sz w:val="24"/>
          <w:szCs w:val="24"/>
        </w:rPr>
        <w:t xml:space="preserve"> </w:t>
      </w:r>
    </w:p>
    <w:p w14:paraId="62FD1EC2">
      <w:pPr>
        <w:pStyle w:val="29"/>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05980425">
      <w:pPr>
        <w:pStyle w:val="29"/>
        <w:spacing w:line="360" w:lineRule="auto"/>
        <w:ind w:firstLine="0" w:firstLineChars="0"/>
        <w:jc w:val="left"/>
        <w:rPr>
          <w:rFonts w:hint="eastAsia" w:ascii="仿宋" w:hAnsi="仿宋" w:eastAsia="仿宋"/>
          <w:kern w:val="44"/>
          <w:sz w:val="24"/>
          <w:szCs w:val="24"/>
        </w:rPr>
      </w:pPr>
    </w:p>
    <w:p w14:paraId="27E4EB8B">
      <w:pPr>
        <w:pStyle w:val="41"/>
        <w:spacing w:line="360" w:lineRule="auto"/>
        <w:rPr>
          <w:rFonts w:hint="eastAsia" w:ascii="仿宋" w:hAnsi="仿宋" w:eastAsia="仿宋" w:cs="黑体"/>
          <w:b/>
          <w:kern w:val="0"/>
          <w:sz w:val="24"/>
          <w:szCs w:val="24"/>
        </w:rPr>
        <w:sectPr>
          <w:pgSz w:w="11906" w:h="16838"/>
          <w:pgMar w:top="1134" w:right="1797" w:bottom="1361" w:left="1797" w:header="851" w:footer="992" w:gutter="0"/>
          <w:cols w:space="720" w:num="1"/>
          <w:docGrid w:type="lines" w:linePitch="312" w:charSpace="0"/>
        </w:sectPr>
      </w:pPr>
    </w:p>
    <w:p w14:paraId="512D1B0D">
      <w:pPr>
        <w:pStyle w:val="41"/>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14:paraId="572BBCEA">
      <w:pPr>
        <w:pStyle w:val="41"/>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以下提供截图截取要求，截图供参考</w:t>
      </w:r>
    </w:p>
    <w:p w14:paraId="70EF3123">
      <w:pPr>
        <w:pStyle w:val="29"/>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5"/>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6"/>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14:paraId="6B932D88">
      <w:pPr>
        <w:spacing w:line="360" w:lineRule="auto"/>
        <w:rPr>
          <w:rFonts w:hint="eastAsia" w:ascii="仿宋" w:hAnsi="仿宋" w:eastAsia="仿宋"/>
          <w:sz w:val="24"/>
        </w:rPr>
      </w:pPr>
    </w:p>
    <w:p w14:paraId="4A5CC9AE">
      <w:pPr>
        <w:pStyle w:val="29"/>
        <w:spacing w:line="360" w:lineRule="auto"/>
        <w:ind w:firstLine="0" w:firstLineChars="0"/>
        <w:rPr>
          <w:rFonts w:hint="eastAsia" w:ascii="仿宋" w:hAnsi="仿宋" w:eastAsia="仿宋"/>
          <w:b/>
          <w:bCs/>
          <w:kern w:val="44"/>
          <w:sz w:val="24"/>
          <w:szCs w:val="24"/>
        </w:rPr>
      </w:pPr>
    </w:p>
    <w:p w14:paraId="1FF4F5B6">
      <w:pPr>
        <w:spacing w:line="480" w:lineRule="auto"/>
        <w:jc w:val="left"/>
        <w:rPr>
          <w:rFonts w:hint="eastAsia" w:ascii="仿宋" w:hAnsi="仿宋" w:eastAsia="仿宋"/>
          <w:b/>
          <w:bCs/>
          <w:kern w:val="44"/>
          <w:sz w:val="24"/>
          <w:szCs w:val="24"/>
        </w:rPr>
      </w:pPr>
    </w:p>
    <w:p w14:paraId="6EFDE4EA">
      <w:pPr>
        <w:pStyle w:val="29"/>
        <w:spacing w:before="156" w:beforeLines="50" w:line="360" w:lineRule="auto"/>
        <w:ind w:firstLine="0" w:firstLineChars="0"/>
        <w:jc w:val="center"/>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五、需要提供的其他文件（如营业执照等）</w:t>
      </w: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94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B310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9B310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0ECD7"/>
    <w:multiLevelType w:val="multilevel"/>
    <w:tmpl w:val="8F80ECD7"/>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E7CC4E"/>
    <w:multiLevelType w:val="singleLevel"/>
    <w:tmpl w:val="1AE7CC4E"/>
    <w:lvl w:ilvl="0" w:tentative="0">
      <w:start w:val="2"/>
      <w:numFmt w:val="decimal"/>
      <w:suff w:val="space"/>
      <w:lvlText w:val="%1."/>
      <w:lvlJc w:val="left"/>
    </w:lvl>
  </w:abstractNum>
  <w:abstractNum w:abstractNumId="2">
    <w:nsid w:val="4C5F44D3"/>
    <w:multiLevelType w:val="singleLevel"/>
    <w:tmpl w:val="4C5F44D3"/>
    <w:lvl w:ilvl="0" w:tentative="0">
      <w:start w:val="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GM1YjAxZTU5NGU5MjJlM2JmODhkYmM1NjM5Y2MifQ=="/>
  </w:docVars>
  <w:rsids>
    <w:rsidRoot w:val="00172A27"/>
    <w:rsid w:val="000322C8"/>
    <w:rsid w:val="000551DA"/>
    <w:rsid w:val="000A07BA"/>
    <w:rsid w:val="000C2EE7"/>
    <w:rsid w:val="00165A1D"/>
    <w:rsid w:val="00172A27"/>
    <w:rsid w:val="00256431"/>
    <w:rsid w:val="002D53C0"/>
    <w:rsid w:val="002E3CD7"/>
    <w:rsid w:val="00305FCC"/>
    <w:rsid w:val="003E3D40"/>
    <w:rsid w:val="003E6F0F"/>
    <w:rsid w:val="004036CE"/>
    <w:rsid w:val="00445F3F"/>
    <w:rsid w:val="004F490E"/>
    <w:rsid w:val="00581D8A"/>
    <w:rsid w:val="005C3DEF"/>
    <w:rsid w:val="005E7B4D"/>
    <w:rsid w:val="00604E52"/>
    <w:rsid w:val="00612820"/>
    <w:rsid w:val="00711FBA"/>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AE0C1B"/>
    <w:rsid w:val="01C039CE"/>
    <w:rsid w:val="01C81F50"/>
    <w:rsid w:val="01EE37A5"/>
    <w:rsid w:val="0208611B"/>
    <w:rsid w:val="023358A9"/>
    <w:rsid w:val="023615AF"/>
    <w:rsid w:val="024A4D97"/>
    <w:rsid w:val="02601A9E"/>
    <w:rsid w:val="02852330"/>
    <w:rsid w:val="028C773C"/>
    <w:rsid w:val="029810C9"/>
    <w:rsid w:val="029A3510"/>
    <w:rsid w:val="02AC3328"/>
    <w:rsid w:val="02B0310F"/>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4D733B"/>
    <w:rsid w:val="055E7A09"/>
    <w:rsid w:val="055F5785"/>
    <w:rsid w:val="057766D7"/>
    <w:rsid w:val="05800CAE"/>
    <w:rsid w:val="05964237"/>
    <w:rsid w:val="05A07863"/>
    <w:rsid w:val="05AA0535"/>
    <w:rsid w:val="05BA56F5"/>
    <w:rsid w:val="05C00463"/>
    <w:rsid w:val="05CA70D4"/>
    <w:rsid w:val="05EF1B36"/>
    <w:rsid w:val="05F7537D"/>
    <w:rsid w:val="05F85D9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1608A9"/>
    <w:rsid w:val="084F59DE"/>
    <w:rsid w:val="087D7EB4"/>
    <w:rsid w:val="088038FF"/>
    <w:rsid w:val="08816951"/>
    <w:rsid w:val="08852E3A"/>
    <w:rsid w:val="08894960"/>
    <w:rsid w:val="08B140CE"/>
    <w:rsid w:val="08BC212A"/>
    <w:rsid w:val="08C3763E"/>
    <w:rsid w:val="08C506E5"/>
    <w:rsid w:val="08C52D6F"/>
    <w:rsid w:val="08E46EA7"/>
    <w:rsid w:val="08F67454"/>
    <w:rsid w:val="08F700C6"/>
    <w:rsid w:val="090B6406"/>
    <w:rsid w:val="09153429"/>
    <w:rsid w:val="0915706F"/>
    <w:rsid w:val="091932F8"/>
    <w:rsid w:val="092578F3"/>
    <w:rsid w:val="092A77E7"/>
    <w:rsid w:val="0942111F"/>
    <w:rsid w:val="09573735"/>
    <w:rsid w:val="096950FC"/>
    <w:rsid w:val="09837CAA"/>
    <w:rsid w:val="09860C2E"/>
    <w:rsid w:val="098E7FF3"/>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17264"/>
    <w:rsid w:val="0B2B090C"/>
    <w:rsid w:val="0B39324F"/>
    <w:rsid w:val="0B3E1A17"/>
    <w:rsid w:val="0B5843AD"/>
    <w:rsid w:val="0B7B7DE4"/>
    <w:rsid w:val="0B875DF5"/>
    <w:rsid w:val="0B8C3357"/>
    <w:rsid w:val="0BB42906"/>
    <w:rsid w:val="0BCC0869"/>
    <w:rsid w:val="0BCD4D32"/>
    <w:rsid w:val="0BE679DE"/>
    <w:rsid w:val="0BFF0784"/>
    <w:rsid w:val="0C177C63"/>
    <w:rsid w:val="0C6D1CF5"/>
    <w:rsid w:val="0C885FA2"/>
    <w:rsid w:val="0CA47578"/>
    <w:rsid w:val="0CA75AD1"/>
    <w:rsid w:val="0CBF4BF8"/>
    <w:rsid w:val="0D095E08"/>
    <w:rsid w:val="0D170060"/>
    <w:rsid w:val="0D240477"/>
    <w:rsid w:val="0D261E54"/>
    <w:rsid w:val="0D3D4B21"/>
    <w:rsid w:val="0D3E1166"/>
    <w:rsid w:val="0D500C64"/>
    <w:rsid w:val="0D583AF2"/>
    <w:rsid w:val="0D587A08"/>
    <w:rsid w:val="0D5B2DEF"/>
    <w:rsid w:val="0D5E7BE0"/>
    <w:rsid w:val="0D7C4DD5"/>
    <w:rsid w:val="0D7E3D32"/>
    <w:rsid w:val="0D80557A"/>
    <w:rsid w:val="0D9D79B0"/>
    <w:rsid w:val="0DA22DAC"/>
    <w:rsid w:val="0DBA2892"/>
    <w:rsid w:val="0DCD1EC5"/>
    <w:rsid w:val="0DD359BA"/>
    <w:rsid w:val="0DF74DCF"/>
    <w:rsid w:val="0DF8260B"/>
    <w:rsid w:val="0DF96D54"/>
    <w:rsid w:val="0E0A5691"/>
    <w:rsid w:val="0E160A26"/>
    <w:rsid w:val="0E45638B"/>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4C0F3C"/>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4D5949"/>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CF50A9"/>
    <w:rsid w:val="10D525AB"/>
    <w:rsid w:val="10D91E0A"/>
    <w:rsid w:val="10E80C92"/>
    <w:rsid w:val="11105771"/>
    <w:rsid w:val="111E5122"/>
    <w:rsid w:val="112315AA"/>
    <w:rsid w:val="11236961"/>
    <w:rsid w:val="112D573C"/>
    <w:rsid w:val="112E2B27"/>
    <w:rsid w:val="11352AC3"/>
    <w:rsid w:val="114C5FF1"/>
    <w:rsid w:val="115241D9"/>
    <w:rsid w:val="115B4B8E"/>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4B1C9E"/>
    <w:rsid w:val="12697AD8"/>
    <w:rsid w:val="12974DAB"/>
    <w:rsid w:val="12AB39AF"/>
    <w:rsid w:val="12CF6944"/>
    <w:rsid w:val="12D31474"/>
    <w:rsid w:val="12F266AE"/>
    <w:rsid w:val="12FE713F"/>
    <w:rsid w:val="130377D4"/>
    <w:rsid w:val="13191A65"/>
    <w:rsid w:val="1322619E"/>
    <w:rsid w:val="133B4F6A"/>
    <w:rsid w:val="13435E6F"/>
    <w:rsid w:val="13561AB1"/>
    <w:rsid w:val="13581549"/>
    <w:rsid w:val="13795301"/>
    <w:rsid w:val="13B103E8"/>
    <w:rsid w:val="13B43E61"/>
    <w:rsid w:val="13BB7800"/>
    <w:rsid w:val="13DF1642"/>
    <w:rsid w:val="13E56521"/>
    <w:rsid w:val="13E65C0E"/>
    <w:rsid w:val="13FC2057"/>
    <w:rsid w:val="14191607"/>
    <w:rsid w:val="141B0D1A"/>
    <w:rsid w:val="141E3E26"/>
    <w:rsid w:val="1425541A"/>
    <w:rsid w:val="14517563"/>
    <w:rsid w:val="145233B5"/>
    <w:rsid w:val="14891FF9"/>
    <w:rsid w:val="14A45268"/>
    <w:rsid w:val="14BA590D"/>
    <w:rsid w:val="14BC4694"/>
    <w:rsid w:val="14E91932"/>
    <w:rsid w:val="14EB7761"/>
    <w:rsid w:val="151D3A6A"/>
    <w:rsid w:val="15433673"/>
    <w:rsid w:val="154D06FF"/>
    <w:rsid w:val="15531FB2"/>
    <w:rsid w:val="155A361E"/>
    <w:rsid w:val="156C419A"/>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11A81"/>
    <w:rsid w:val="17D54619"/>
    <w:rsid w:val="17DE2FB7"/>
    <w:rsid w:val="17DE4D47"/>
    <w:rsid w:val="17EB1C10"/>
    <w:rsid w:val="18136FA0"/>
    <w:rsid w:val="18143491"/>
    <w:rsid w:val="181B0BD3"/>
    <w:rsid w:val="181D6EA6"/>
    <w:rsid w:val="18376D7D"/>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3E5009"/>
    <w:rsid w:val="19442175"/>
    <w:rsid w:val="194476BE"/>
    <w:rsid w:val="1955782F"/>
    <w:rsid w:val="196F44CB"/>
    <w:rsid w:val="19723BF7"/>
    <w:rsid w:val="197A134F"/>
    <w:rsid w:val="197E4D27"/>
    <w:rsid w:val="198E78C5"/>
    <w:rsid w:val="19A857BB"/>
    <w:rsid w:val="19B52627"/>
    <w:rsid w:val="19BA37C2"/>
    <w:rsid w:val="19DC2ECA"/>
    <w:rsid w:val="19E35721"/>
    <w:rsid w:val="19ED6C41"/>
    <w:rsid w:val="19FE7107"/>
    <w:rsid w:val="1A1C1CE5"/>
    <w:rsid w:val="1A234EFA"/>
    <w:rsid w:val="1A4E5D2F"/>
    <w:rsid w:val="1A75575B"/>
    <w:rsid w:val="1A7D0090"/>
    <w:rsid w:val="1A89454D"/>
    <w:rsid w:val="1AB319BE"/>
    <w:rsid w:val="1AD4393F"/>
    <w:rsid w:val="1AD77563"/>
    <w:rsid w:val="1AE509FF"/>
    <w:rsid w:val="1AE54FD5"/>
    <w:rsid w:val="1AEC06BC"/>
    <w:rsid w:val="1AF26D42"/>
    <w:rsid w:val="1B035639"/>
    <w:rsid w:val="1B2003AC"/>
    <w:rsid w:val="1B2F613A"/>
    <w:rsid w:val="1B2F6BA7"/>
    <w:rsid w:val="1B430B6D"/>
    <w:rsid w:val="1B593EE4"/>
    <w:rsid w:val="1B853D32"/>
    <w:rsid w:val="1B8835E4"/>
    <w:rsid w:val="1BC50BBF"/>
    <w:rsid w:val="1BD726EA"/>
    <w:rsid w:val="1BDE1C65"/>
    <w:rsid w:val="1BEC49DB"/>
    <w:rsid w:val="1BEE0B84"/>
    <w:rsid w:val="1BFC7520"/>
    <w:rsid w:val="1C0B2F27"/>
    <w:rsid w:val="1C4231EC"/>
    <w:rsid w:val="1C43753B"/>
    <w:rsid w:val="1C4E11FC"/>
    <w:rsid w:val="1C4F3C15"/>
    <w:rsid w:val="1C56219C"/>
    <w:rsid w:val="1C7B464A"/>
    <w:rsid w:val="1C87045D"/>
    <w:rsid w:val="1C8D7DE8"/>
    <w:rsid w:val="1C947772"/>
    <w:rsid w:val="1CA04BF9"/>
    <w:rsid w:val="1CA114E3"/>
    <w:rsid w:val="1CC61A56"/>
    <w:rsid w:val="1CC976F7"/>
    <w:rsid w:val="1CF45E21"/>
    <w:rsid w:val="1D0E0F41"/>
    <w:rsid w:val="1D0F0C74"/>
    <w:rsid w:val="1D1D63D2"/>
    <w:rsid w:val="1D2A43C0"/>
    <w:rsid w:val="1D3E218A"/>
    <w:rsid w:val="1D42444B"/>
    <w:rsid w:val="1D497EE6"/>
    <w:rsid w:val="1D4B0FD4"/>
    <w:rsid w:val="1D510BDB"/>
    <w:rsid w:val="1D551DAF"/>
    <w:rsid w:val="1D5B3CB8"/>
    <w:rsid w:val="1D8C3CD3"/>
    <w:rsid w:val="1DA1569E"/>
    <w:rsid w:val="1DBE5F86"/>
    <w:rsid w:val="1DD57D7F"/>
    <w:rsid w:val="1E0740A2"/>
    <w:rsid w:val="1E0A51EF"/>
    <w:rsid w:val="1E48458C"/>
    <w:rsid w:val="1E552FF2"/>
    <w:rsid w:val="1E5A3B65"/>
    <w:rsid w:val="1E5D4FF0"/>
    <w:rsid w:val="1E6C14AB"/>
    <w:rsid w:val="1E7F7FF7"/>
    <w:rsid w:val="1E9F5C7C"/>
    <w:rsid w:val="1E9F669B"/>
    <w:rsid w:val="1EA254C4"/>
    <w:rsid w:val="1ECF001D"/>
    <w:rsid w:val="1EDC0931"/>
    <w:rsid w:val="1EF06925"/>
    <w:rsid w:val="1EF85EBB"/>
    <w:rsid w:val="1F2A5C8F"/>
    <w:rsid w:val="1F3B624A"/>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A404A"/>
    <w:rsid w:val="207F3560"/>
    <w:rsid w:val="20806BFB"/>
    <w:rsid w:val="208E3787"/>
    <w:rsid w:val="20922904"/>
    <w:rsid w:val="209C15AC"/>
    <w:rsid w:val="20A377C7"/>
    <w:rsid w:val="20A90F70"/>
    <w:rsid w:val="20CD19C8"/>
    <w:rsid w:val="20D00624"/>
    <w:rsid w:val="20F64A35"/>
    <w:rsid w:val="20FA3CE2"/>
    <w:rsid w:val="210D1A49"/>
    <w:rsid w:val="211C305E"/>
    <w:rsid w:val="213276F8"/>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E3881"/>
    <w:rsid w:val="227F0AA8"/>
    <w:rsid w:val="22811E51"/>
    <w:rsid w:val="228C7DBD"/>
    <w:rsid w:val="229E1AD7"/>
    <w:rsid w:val="22B51B4C"/>
    <w:rsid w:val="22C80A68"/>
    <w:rsid w:val="22E753A0"/>
    <w:rsid w:val="22F11013"/>
    <w:rsid w:val="23026758"/>
    <w:rsid w:val="230D7526"/>
    <w:rsid w:val="23156A1D"/>
    <w:rsid w:val="2316669C"/>
    <w:rsid w:val="231B3959"/>
    <w:rsid w:val="23372454"/>
    <w:rsid w:val="23694EE9"/>
    <w:rsid w:val="237770F1"/>
    <w:rsid w:val="2379093F"/>
    <w:rsid w:val="237D5522"/>
    <w:rsid w:val="237E49F2"/>
    <w:rsid w:val="237F088B"/>
    <w:rsid w:val="239D2E24"/>
    <w:rsid w:val="239E0EFF"/>
    <w:rsid w:val="23B25C43"/>
    <w:rsid w:val="23B46A31"/>
    <w:rsid w:val="23BC668F"/>
    <w:rsid w:val="23CD03C9"/>
    <w:rsid w:val="23D0134E"/>
    <w:rsid w:val="23D14BD1"/>
    <w:rsid w:val="23D45A1D"/>
    <w:rsid w:val="23DC20B6"/>
    <w:rsid w:val="23DC5161"/>
    <w:rsid w:val="23E06F49"/>
    <w:rsid w:val="23FB11F4"/>
    <w:rsid w:val="24160D4E"/>
    <w:rsid w:val="24217E53"/>
    <w:rsid w:val="243079AF"/>
    <w:rsid w:val="24364576"/>
    <w:rsid w:val="24470093"/>
    <w:rsid w:val="244A129E"/>
    <w:rsid w:val="244E01E1"/>
    <w:rsid w:val="24523F05"/>
    <w:rsid w:val="246A4D03"/>
    <w:rsid w:val="246B5060"/>
    <w:rsid w:val="247D4CEA"/>
    <w:rsid w:val="249C41E1"/>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451C3D"/>
    <w:rsid w:val="26514CEC"/>
    <w:rsid w:val="26517A13"/>
    <w:rsid w:val="26583602"/>
    <w:rsid w:val="26627AEB"/>
    <w:rsid w:val="267473A3"/>
    <w:rsid w:val="267D7CB3"/>
    <w:rsid w:val="2694302D"/>
    <w:rsid w:val="26D07ABD"/>
    <w:rsid w:val="26EF2570"/>
    <w:rsid w:val="26F65840"/>
    <w:rsid w:val="26FE3B9A"/>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724F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AF2766"/>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D633C8"/>
    <w:rsid w:val="2EE161F9"/>
    <w:rsid w:val="2EEE550E"/>
    <w:rsid w:val="2EFA1321"/>
    <w:rsid w:val="2F0C123B"/>
    <w:rsid w:val="2F104EF5"/>
    <w:rsid w:val="2F241D9C"/>
    <w:rsid w:val="2F666452"/>
    <w:rsid w:val="2F800A22"/>
    <w:rsid w:val="2FAA7EAA"/>
    <w:rsid w:val="2FBC6A58"/>
    <w:rsid w:val="2FC751F2"/>
    <w:rsid w:val="2FD101DF"/>
    <w:rsid w:val="2FD302BA"/>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D4A9A"/>
    <w:rsid w:val="311623C2"/>
    <w:rsid w:val="31184E64"/>
    <w:rsid w:val="31310D4C"/>
    <w:rsid w:val="31414A5E"/>
    <w:rsid w:val="3146420E"/>
    <w:rsid w:val="314D2FF9"/>
    <w:rsid w:val="31653999"/>
    <w:rsid w:val="316B25F0"/>
    <w:rsid w:val="316E4972"/>
    <w:rsid w:val="3172742B"/>
    <w:rsid w:val="318375C6"/>
    <w:rsid w:val="31855FB1"/>
    <w:rsid w:val="318C5DE1"/>
    <w:rsid w:val="318F760D"/>
    <w:rsid w:val="31B217A1"/>
    <w:rsid w:val="31DB2ECD"/>
    <w:rsid w:val="31E831E8"/>
    <w:rsid w:val="321336D2"/>
    <w:rsid w:val="321D7C9D"/>
    <w:rsid w:val="322936D7"/>
    <w:rsid w:val="32320BDC"/>
    <w:rsid w:val="3235285C"/>
    <w:rsid w:val="323C48F6"/>
    <w:rsid w:val="324F0BF0"/>
    <w:rsid w:val="324F14D9"/>
    <w:rsid w:val="324F7611"/>
    <w:rsid w:val="326740F7"/>
    <w:rsid w:val="327970B9"/>
    <w:rsid w:val="32797B6F"/>
    <w:rsid w:val="32A73FA5"/>
    <w:rsid w:val="32C42CAC"/>
    <w:rsid w:val="32E06A79"/>
    <w:rsid w:val="32F02819"/>
    <w:rsid w:val="32F9052C"/>
    <w:rsid w:val="32FB3E09"/>
    <w:rsid w:val="330D1B4F"/>
    <w:rsid w:val="33121AA1"/>
    <w:rsid w:val="3317335F"/>
    <w:rsid w:val="331A4072"/>
    <w:rsid w:val="3332073B"/>
    <w:rsid w:val="333F77DD"/>
    <w:rsid w:val="33571603"/>
    <w:rsid w:val="33650EE0"/>
    <w:rsid w:val="33814278"/>
    <w:rsid w:val="338A5133"/>
    <w:rsid w:val="339B3719"/>
    <w:rsid w:val="33A80747"/>
    <w:rsid w:val="33D1020F"/>
    <w:rsid w:val="34025FA8"/>
    <w:rsid w:val="34045845"/>
    <w:rsid w:val="340B74B9"/>
    <w:rsid w:val="34172F02"/>
    <w:rsid w:val="34196405"/>
    <w:rsid w:val="341B4980"/>
    <w:rsid w:val="341C2C0D"/>
    <w:rsid w:val="342124D3"/>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14E27"/>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8FD0AC5"/>
    <w:rsid w:val="39003390"/>
    <w:rsid w:val="39010974"/>
    <w:rsid w:val="3907079C"/>
    <w:rsid w:val="390B4173"/>
    <w:rsid w:val="39170EC9"/>
    <w:rsid w:val="393F7622"/>
    <w:rsid w:val="39610D3F"/>
    <w:rsid w:val="396A7C09"/>
    <w:rsid w:val="397376A5"/>
    <w:rsid w:val="39740471"/>
    <w:rsid w:val="39742AB8"/>
    <w:rsid w:val="39AC6F0D"/>
    <w:rsid w:val="39D15C66"/>
    <w:rsid w:val="39E07088"/>
    <w:rsid w:val="39E324F6"/>
    <w:rsid w:val="39F17820"/>
    <w:rsid w:val="39F4516C"/>
    <w:rsid w:val="3A130B99"/>
    <w:rsid w:val="3A1741DD"/>
    <w:rsid w:val="3A202475"/>
    <w:rsid w:val="3A235A71"/>
    <w:rsid w:val="3A394901"/>
    <w:rsid w:val="3A3C5316"/>
    <w:rsid w:val="3A4058BF"/>
    <w:rsid w:val="3A4F4676"/>
    <w:rsid w:val="3A5F45D1"/>
    <w:rsid w:val="3A5F5E27"/>
    <w:rsid w:val="3A8227E5"/>
    <w:rsid w:val="3AB013BF"/>
    <w:rsid w:val="3AB6148B"/>
    <w:rsid w:val="3AB82B8A"/>
    <w:rsid w:val="3ABD36A8"/>
    <w:rsid w:val="3AD7234B"/>
    <w:rsid w:val="3ADE1AD5"/>
    <w:rsid w:val="3AE56805"/>
    <w:rsid w:val="3B132590"/>
    <w:rsid w:val="3B5847E9"/>
    <w:rsid w:val="3B8F407A"/>
    <w:rsid w:val="3BA60B93"/>
    <w:rsid w:val="3BB616DF"/>
    <w:rsid w:val="3BF3026A"/>
    <w:rsid w:val="3C0A10A8"/>
    <w:rsid w:val="3C125364"/>
    <w:rsid w:val="3C1F0FD1"/>
    <w:rsid w:val="3C2157C8"/>
    <w:rsid w:val="3C2351B6"/>
    <w:rsid w:val="3C444AF5"/>
    <w:rsid w:val="3C4C0810"/>
    <w:rsid w:val="3C4D3897"/>
    <w:rsid w:val="3C4D6F59"/>
    <w:rsid w:val="3C521404"/>
    <w:rsid w:val="3C5E539B"/>
    <w:rsid w:val="3C630A5B"/>
    <w:rsid w:val="3C7269E9"/>
    <w:rsid w:val="3C772877"/>
    <w:rsid w:val="3CC330F6"/>
    <w:rsid w:val="3CC50422"/>
    <w:rsid w:val="3CC63F65"/>
    <w:rsid w:val="3CC86FC9"/>
    <w:rsid w:val="3CCB46CA"/>
    <w:rsid w:val="3CD63197"/>
    <w:rsid w:val="3D0972EB"/>
    <w:rsid w:val="3D2F43EF"/>
    <w:rsid w:val="3D621A04"/>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EB6857"/>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094232"/>
    <w:rsid w:val="40185137"/>
    <w:rsid w:val="402F14D9"/>
    <w:rsid w:val="40477AD1"/>
    <w:rsid w:val="405B2D35"/>
    <w:rsid w:val="406608CC"/>
    <w:rsid w:val="406C1FA6"/>
    <w:rsid w:val="40733E32"/>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10035E"/>
    <w:rsid w:val="423773BA"/>
    <w:rsid w:val="42386C01"/>
    <w:rsid w:val="423A336B"/>
    <w:rsid w:val="4252254E"/>
    <w:rsid w:val="425B59EA"/>
    <w:rsid w:val="425D2BCC"/>
    <w:rsid w:val="42937CAF"/>
    <w:rsid w:val="4298644F"/>
    <w:rsid w:val="429E6876"/>
    <w:rsid w:val="42AD2B71"/>
    <w:rsid w:val="42BC56D0"/>
    <w:rsid w:val="430168B8"/>
    <w:rsid w:val="430C159E"/>
    <w:rsid w:val="431C0FD8"/>
    <w:rsid w:val="432C69BC"/>
    <w:rsid w:val="4377327F"/>
    <w:rsid w:val="43904469"/>
    <w:rsid w:val="43933CA0"/>
    <w:rsid w:val="43A82FD5"/>
    <w:rsid w:val="43B91DAA"/>
    <w:rsid w:val="43C83510"/>
    <w:rsid w:val="43FA58B6"/>
    <w:rsid w:val="44081F09"/>
    <w:rsid w:val="440A2F83"/>
    <w:rsid w:val="441901BE"/>
    <w:rsid w:val="441D2527"/>
    <w:rsid w:val="445C5D26"/>
    <w:rsid w:val="446E1F07"/>
    <w:rsid w:val="448B2102"/>
    <w:rsid w:val="448F1AA9"/>
    <w:rsid w:val="449900F5"/>
    <w:rsid w:val="44A4522B"/>
    <w:rsid w:val="44AB6CB7"/>
    <w:rsid w:val="44B17003"/>
    <w:rsid w:val="451F55A0"/>
    <w:rsid w:val="45210077"/>
    <w:rsid w:val="453C7D64"/>
    <w:rsid w:val="453F7628"/>
    <w:rsid w:val="45403E4D"/>
    <w:rsid w:val="454050A9"/>
    <w:rsid w:val="45407AB5"/>
    <w:rsid w:val="459704A1"/>
    <w:rsid w:val="45A50F46"/>
    <w:rsid w:val="45B11EE5"/>
    <w:rsid w:val="45B95841"/>
    <w:rsid w:val="45C20E9E"/>
    <w:rsid w:val="45D707D6"/>
    <w:rsid w:val="45DA3724"/>
    <w:rsid w:val="45DF0477"/>
    <w:rsid w:val="45FA6EE8"/>
    <w:rsid w:val="461B197A"/>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F0D04"/>
    <w:rsid w:val="485830BD"/>
    <w:rsid w:val="485C3C19"/>
    <w:rsid w:val="488D33C5"/>
    <w:rsid w:val="489167A2"/>
    <w:rsid w:val="489E3831"/>
    <w:rsid w:val="48A82E66"/>
    <w:rsid w:val="48B71159"/>
    <w:rsid w:val="48CB2DF3"/>
    <w:rsid w:val="48CB3FD3"/>
    <w:rsid w:val="48CE3A51"/>
    <w:rsid w:val="48E13ECD"/>
    <w:rsid w:val="48EB1726"/>
    <w:rsid w:val="48FF78DE"/>
    <w:rsid w:val="49242E99"/>
    <w:rsid w:val="493233AE"/>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813D3"/>
    <w:rsid w:val="4A2C42CD"/>
    <w:rsid w:val="4A314DD7"/>
    <w:rsid w:val="4A333BC5"/>
    <w:rsid w:val="4A3D6D7D"/>
    <w:rsid w:val="4A5374A0"/>
    <w:rsid w:val="4A581909"/>
    <w:rsid w:val="4A5E3812"/>
    <w:rsid w:val="4A67017F"/>
    <w:rsid w:val="4A81724A"/>
    <w:rsid w:val="4A9021DB"/>
    <w:rsid w:val="4A9E67FA"/>
    <w:rsid w:val="4AA32FAD"/>
    <w:rsid w:val="4AB12337"/>
    <w:rsid w:val="4AB873A4"/>
    <w:rsid w:val="4AC05AD8"/>
    <w:rsid w:val="4AD658D5"/>
    <w:rsid w:val="4AD94078"/>
    <w:rsid w:val="4AEE52AC"/>
    <w:rsid w:val="4AF41787"/>
    <w:rsid w:val="4B0444D9"/>
    <w:rsid w:val="4B13279D"/>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0E6124"/>
    <w:rsid w:val="4C11306C"/>
    <w:rsid w:val="4C147D69"/>
    <w:rsid w:val="4C2C1484"/>
    <w:rsid w:val="4C2E470A"/>
    <w:rsid w:val="4C3327C1"/>
    <w:rsid w:val="4C4B1E3A"/>
    <w:rsid w:val="4C5C7BFB"/>
    <w:rsid w:val="4C632C63"/>
    <w:rsid w:val="4C8338E1"/>
    <w:rsid w:val="4CA45A05"/>
    <w:rsid w:val="4CB13156"/>
    <w:rsid w:val="4CC976B2"/>
    <w:rsid w:val="4CE40C32"/>
    <w:rsid w:val="4CE71BB7"/>
    <w:rsid w:val="4D1A70D0"/>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C36A56"/>
    <w:rsid w:val="4EED4CCC"/>
    <w:rsid w:val="4EF07430"/>
    <w:rsid w:val="4EFC5555"/>
    <w:rsid w:val="4F0831DA"/>
    <w:rsid w:val="4F0B36E6"/>
    <w:rsid w:val="4F3E6166"/>
    <w:rsid w:val="4F5178A3"/>
    <w:rsid w:val="4F525140"/>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DD5090"/>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6117F"/>
    <w:rsid w:val="53186EE4"/>
    <w:rsid w:val="5339007E"/>
    <w:rsid w:val="535C76C6"/>
    <w:rsid w:val="53637DCA"/>
    <w:rsid w:val="537257C5"/>
    <w:rsid w:val="5383742D"/>
    <w:rsid w:val="53A157B9"/>
    <w:rsid w:val="53B85768"/>
    <w:rsid w:val="53BA2E6A"/>
    <w:rsid w:val="53C33CD8"/>
    <w:rsid w:val="53C43BC7"/>
    <w:rsid w:val="53D61973"/>
    <w:rsid w:val="53DF5628"/>
    <w:rsid w:val="53EA239B"/>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140F2E"/>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377486"/>
    <w:rsid w:val="59456704"/>
    <w:rsid w:val="5950021B"/>
    <w:rsid w:val="59502516"/>
    <w:rsid w:val="5955281D"/>
    <w:rsid w:val="599F65AE"/>
    <w:rsid w:val="59A26A9D"/>
    <w:rsid w:val="59A84B06"/>
    <w:rsid w:val="59B014A3"/>
    <w:rsid w:val="59B05DB3"/>
    <w:rsid w:val="59D04D4F"/>
    <w:rsid w:val="59D51EEC"/>
    <w:rsid w:val="59DA6BF7"/>
    <w:rsid w:val="59E37225"/>
    <w:rsid w:val="5A0A5DD6"/>
    <w:rsid w:val="5A0C6784"/>
    <w:rsid w:val="5A272E2C"/>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341995"/>
    <w:rsid w:val="5B4C1057"/>
    <w:rsid w:val="5B603D7C"/>
    <w:rsid w:val="5B885541"/>
    <w:rsid w:val="5BB4249E"/>
    <w:rsid w:val="5BD777E6"/>
    <w:rsid w:val="5C122D5E"/>
    <w:rsid w:val="5C330BCF"/>
    <w:rsid w:val="5C733038"/>
    <w:rsid w:val="5C737D2C"/>
    <w:rsid w:val="5C7E6E4B"/>
    <w:rsid w:val="5C817DEC"/>
    <w:rsid w:val="5C8F2968"/>
    <w:rsid w:val="5C9A2097"/>
    <w:rsid w:val="5CAB6A15"/>
    <w:rsid w:val="5CAC7202"/>
    <w:rsid w:val="5CB26DE8"/>
    <w:rsid w:val="5CE738DA"/>
    <w:rsid w:val="5CF1718A"/>
    <w:rsid w:val="5D1B7965"/>
    <w:rsid w:val="5D365596"/>
    <w:rsid w:val="5D446203"/>
    <w:rsid w:val="5D476B7B"/>
    <w:rsid w:val="5D52647E"/>
    <w:rsid w:val="5D5668B3"/>
    <w:rsid w:val="5D6C32DC"/>
    <w:rsid w:val="5D7D7BF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4026E"/>
    <w:rsid w:val="5EB804F7"/>
    <w:rsid w:val="5EC41684"/>
    <w:rsid w:val="5EDB3C26"/>
    <w:rsid w:val="5F1C698C"/>
    <w:rsid w:val="5F2E10CF"/>
    <w:rsid w:val="5F393BBF"/>
    <w:rsid w:val="5F4E4F58"/>
    <w:rsid w:val="5F503E46"/>
    <w:rsid w:val="5F5825D3"/>
    <w:rsid w:val="5F6B6599"/>
    <w:rsid w:val="5FB07830"/>
    <w:rsid w:val="5FB15CCE"/>
    <w:rsid w:val="5FD149C5"/>
    <w:rsid w:val="5FD501C7"/>
    <w:rsid w:val="5FDE21DF"/>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4781"/>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1ED7DB8"/>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5D67A5"/>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379E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1B5AC7"/>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5C71DD"/>
    <w:rsid w:val="695D1FE3"/>
    <w:rsid w:val="696714E2"/>
    <w:rsid w:val="6969738E"/>
    <w:rsid w:val="69725190"/>
    <w:rsid w:val="697A1E70"/>
    <w:rsid w:val="69840D94"/>
    <w:rsid w:val="698A6FB3"/>
    <w:rsid w:val="69966649"/>
    <w:rsid w:val="69DE4130"/>
    <w:rsid w:val="6A0016F1"/>
    <w:rsid w:val="6A1E2575"/>
    <w:rsid w:val="6A7449B2"/>
    <w:rsid w:val="6A9929F4"/>
    <w:rsid w:val="6ACB2E33"/>
    <w:rsid w:val="6ACC52E9"/>
    <w:rsid w:val="6ACF763D"/>
    <w:rsid w:val="6AD63A5F"/>
    <w:rsid w:val="6AE01CC6"/>
    <w:rsid w:val="6AE676D2"/>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205895"/>
    <w:rsid w:val="6D631430"/>
    <w:rsid w:val="6D711158"/>
    <w:rsid w:val="6D717C1E"/>
    <w:rsid w:val="6D7C7BAA"/>
    <w:rsid w:val="6D8433BC"/>
    <w:rsid w:val="6D8455BA"/>
    <w:rsid w:val="6D920153"/>
    <w:rsid w:val="6D9963A7"/>
    <w:rsid w:val="6DA16A1C"/>
    <w:rsid w:val="6DA72D47"/>
    <w:rsid w:val="6DAF1C81"/>
    <w:rsid w:val="6DAF4A10"/>
    <w:rsid w:val="6DB3299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F967A0"/>
    <w:rsid w:val="6EFD396C"/>
    <w:rsid w:val="6F0674FF"/>
    <w:rsid w:val="6F2F0E79"/>
    <w:rsid w:val="6F3F3691"/>
    <w:rsid w:val="6F49144D"/>
    <w:rsid w:val="6F6C5AC6"/>
    <w:rsid w:val="6F8A5194"/>
    <w:rsid w:val="6FA40E37"/>
    <w:rsid w:val="6FC05107"/>
    <w:rsid w:val="6FCB133A"/>
    <w:rsid w:val="6FEC122C"/>
    <w:rsid w:val="6FF35ED1"/>
    <w:rsid w:val="700B3C9A"/>
    <w:rsid w:val="700E3F90"/>
    <w:rsid w:val="702B4594"/>
    <w:rsid w:val="70471141"/>
    <w:rsid w:val="705169D2"/>
    <w:rsid w:val="705F3769"/>
    <w:rsid w:val="706E7C5A"/>
    <w:rsid w:val="70734988"/>
    <w:rsid w:val="70757662"/>
    <w:rsid w:val="709D4BC6"/>
    <w:rsid w:val="70A86CD7"/>
    <w:rsid w:val="70B712FE"/>
    <w:rsid w:val="70BA0B48"/>
    <w:rsid w:val="70E7043C"/>
    <w:rsid w:val="70F80464"/>
    <w:rsid w:val="710160B5"/>
    <w:rsid w:val="71043090"/>
    <w:rsid w:val="71155816"/>
    <w:rsid w:val="712041AC"/>
    <w:rsid w:val="712B420C"/>
    <w:rsid w:val="71394D39"/>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8010A6"/>
    <w:rsid w:val="729A0EE0"/>
    <w:rsid w:val="72A02D30"/>
    <w:rsid w:val="72B41A3F"/>
    <w:rsid w:val="72BF6CA4"/>
    <w:rsid w:val="72C00DB2"/>
    <w:rsid w:val="72C309D4"/>
    <w:rsid w:val="72EC6E8B"/>
    <w:rsid w:val="72F05AD1"/>
    <w:rsid w:val="73085C4E"/>
    <w:rsid w:val="733B674E"/>
    <w:rsid w:val="733C2B39"/>
    <w:rsid w:val="734B707A"/>
    <w:rsid w:val="735636FE"/>
    <w:rsid w:val="73610221"/>
    <w:rsid w:val="73616C5B"/>
    <w:rsid w:val="736F4A32"/>
    <w:rsid w:val="73923252"/>
    <w:rsid w:val="73A52ADB"/>
    <w:rsid w:val="73F04490"/>
    <w:rsid w:val="73F77156"/>
    <w:rsid w:val="73FA64D3"/>
    <w:rsid w:val="740857E9"/>
    <w:rsid w:val="74230A74"/>
    <w:rsid w:val="74434489"/>
    <w:rsid w:val="74447BCC"/>
    <w:rsid w:val="744C388B"/>
    <w:rsid w:val="745154C4"/>
    <w:rsid w:val="74623260"/>
    <w:rsid w:val="7468238A"/>
    <w:rsid w:val="746D2F8F"/>
    <w:rsid w:val="747B3F9D"/>
    <w:rsid w:val="749651AF"/>
    <w:rsid w:val="749C4A3B"/>
    <w:rsid w:val="74A76372"/>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C3CA6"/>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7F24622"/>
    <w:rsid w:val="78342D62"/>
    <w:rsid w:val="786A2128"/>
    <w:rsid w:val="787378B8"/>
    <w:rsid w:val="787F5E0E"/>
    <w:rsid w:val="789A41C2"/>
    <w:rsid w:val="78AF300E"/>
    <w:rsid w:val="78B86A6C"/>
    <w:rsid w:val="78BD3A05"/>
    <w:rsid w:val="78C94C4C"/>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A75B0"/>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AEC137E"/>
    <w:rsid w:val="7B111CB9"/>
    <w:rsid w:val="7B2D3D68"/>
    <w:rsid w:val="7B3B0CF5"/>
    <w:rsid w:val="7B402043"/>
    <w:rsid w:val="7B587D8B"/>
    <w:rsid w:val="7B5F4AF6"/>
    <w:rsid w:val="7B6446E7"/>
    <w:rsid w:val="7B7421C6"/>
    <w:rsid w:val="7B897F9C"/>
    <w:rsid w:val="7B8B6C3F"/>
    <w:rsid w:val="7B974C50"/>
    <w:rsid w:val="7BAF4A60"/>
    <w:rsid w:val="7BBF0DE6"/>
    <w:rsid w:val="7BC94525"/>
    <w:rsid w:val="7BCA41A5"/>
    <w:rsid w:val="7BDE0036"/>
    <w:rsid w:val="7BE90B2B"/>
    <w:rsid w:val="7C0C42D3"/>
    <w:rsid w:val="7C2D09C7"/>
    <w:rsid w:val="7C420509"/>
    <w:rsid w:val="7C5F39D5"/>
    <w:rsid w:val="7C607F1C"/>
    <w:rsid w:val="7C853942"/>
    <w:rsid w:val="7CAA7097"/>
    <w:rsid w:val="7CB637D9"/>
    <w:rsid w:val="7CBA3DB9"/>
    <w:rsid w:val="7CE615AE"/>
    <w:rsid w:val="7CEF733F"/>
    <w:rsid w:val="7CF96612"/>
    <w:rsid w:val="7D0261D9"/>
    <w:rsid w:val="7D262B37"/>
    <w:rsid w:val="7D296539"/>
    <w:rsid w:val="7D2A34EB"/>
    <w:rsid w:val="7D3014EE"/>
    <w:rsid w:val="7D4D65D6"/>
    <w:rsid w:val="7D5A7F7D"/>
    <w:rsid w:val="7D6361EF"/>
    <w:rsid w:val="7D696B90"/>
    <w:rsid w:val="7D6A3C51"/>
    <w:rsid w:val="7D80686A"/>
    <w:rsid w:val="7D8A6C18"/>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3"/>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w:basedOn w:val="7"/>
    <w:qFormat/>
    <w:uiPriority w:val="0"/>
    <w:pPr>
      <w:spacing w:after="120"/>
      <w:ind w:firstLine="420" w:firstLineChars="100"/>
    </w:pPr>
    <w:rPr>
      <w:rFonts w:ascii="仿宋_GB2312" w:hAnsi="Times New Roman" w:cs="Times New Roman"/>
      <w:color w:val="000000"/>
      <w:lang w:val="en-US" w:bidi="ar-SA"/>
    </w:rPr>
  </w:style>
  <w:style w:type="paragraph" w:styleId="19">
    <w:name w:val="Body Text First Indent 2"/>
    <w:basedOn w:val="8"/>
    <w:next w:val="20"/>
    <w:qFormat/>
    <w:uiPriority w:val="0"/>
    <w:pPr>
      <w:spacing w:after="120"/>
      <w:ind w:left="420" w:leftChars="200" w:firstLine="420"/>
    </w:pPr>
    <w:rPr>
      <w:bCs/>
    </w:rPr>
  </w:style>
  <w:style w:type="paragraph" w:customStyle="1" w:styleId="20">
    <w:name w:val="正文格式"/>
    <w:basedOn w:val="1"/>
    <w:qFormat/>
    <w:uiPriority w:val="99"/>
    <w:pPr>
      <w:widowControl/>
      <w:adjustRightInd w:val="0"/>
      <w:snapToGrid w:val="0"/>
      <w:spacing w:beforeLines="50" w:afterLines="50" w:line="360" w:lineRule="atLeast"/>
      <w:ind w:left="200" w:leftChars="200" w:firstLine="482"/>
      <w:textAlignment w:val="baseline"/>
    </w:pPr>
    <w:rPr>
      <w:sz w:val="24"/>
      <w:szCs w:val="24"/>
      <w:lang w:eastAsia="en-US"/>
    </w:rPr>
  </w:style>
  <w:style w:type="table" w:styleId="22">
    <w:name w:val="Table Grid"/>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0"/>
  </w:style>
  <w:style w:type="character" w:styleId="25">
    <w:name w:val="Hyperlink"/>
    <w:unhideWhenUsed/>
    <w:qFormat/>
    <w:uiPriority w:val="99"/>
    <w:rPr>
      <w:color w:val="0000FF"/>
      <w:u w:val="single"/>
    </w:rPr>
  </w:style>
  <w:style w:type="paragraph" w:customStyle="1" w:styleId="26">
    <w:name w:val="汇编标题1"/>
    <w:basedOn w:val="2"/>
    <w:next w:val="27"/>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7">
    <w:name w:val="汇编正文"/>
    <w:basedOn w:val="1"/>
    <w:next w:val="28"/>
    <w:qFormat/>
    <w:uiPriority w:val="99"/>
    <w:pPr>
      <w:snapToGrid w:val="0"/>
      <w:spacing w:line="360" w:lineRule="atLeast"/>
    </w:pPr>
    <w:rPr>
      <w:color w:val="000000"/>
      <w:lang w:val="zh-CN"/>
    </w:rPr>
  </w:style>
  <w:style w:type="paragraph" w:customStyle="1" w:styleId="28">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1">
    <w:name w:val="页眉 字符"/>
    <w:link w:val="13"/>
    <w:semiHidden/>
    <w:qFormat/>
    <w:uiPriority w:val="99"/>
    <w:rPr>
      <w:sz w:val="18"/>
      <w:szCs w:val="18"/>
    </w:rPr>
  </w:style>
  <w:style w:type="character" w:customStyle="1" w:styleId="32">
    <w:name w:val="页脚 字符"/>
    <w:link w:val="12"/>
    <w:semiHidden/>
    <w:qFormat/>
    <w:uiPriority w:val="99"/>
    <w:rPr>
      <w:sz w:val="18"/>
      <w:szCs w:val="18"/>
    </w:rPr>
  </w:style>
  <w:style w:type="character" w:customStyle="1" w:styleId="33">
    <w:name w:val="批注框文本 字符"/>
    <w:link w:val="11"/>
    <w:semiHidden/>
    <w:qFormat/>
    <w:uiPriority w:val="99"/>
    <w:rPr>
      <w:sz w:val="18"/>
      <w:szCs w:val="18"/>
    </w:rPr>
  </w:style>
  <w:style w:type="character" w:customStyle="1" w:styleId="34">
    <w:name w:val="标题 3 字符"/>
    <w:link w:val="4"/>
    <w:qFormat/>
    <w:uiPriority w:val="9"/>
    <w:rPr>
      <w:rFonts w:ascii="仿宋" w:hAnsi="仿宋" w:eastAsia="仿宋_GB2312" w:cs="Times New Roman"/>
      <w:bCs/>
      <w:sz w:val="28"/>
      <w:szCs w:val="32"/>
    </w:rPr>
  </w:style>
  <w:style w:type="character" w:customStyle="1" w:styleId="35">
    <w:name w:val="标题 2 字符"/>
    <w:link w:val="3"/>
    <w:qFormat/>
    <w:uiPriority w:val="9"/>
    <w:rPr>
      <w:rFonts w:ascii="Cambria" w:hAnsi="Cambria" w:eastAsia="仿宋_GB2312"/>
      <w:b/>
      <w:bCs/>
      <w:sz w:val="30"/>
      <w:szCs w:val="32"/>
    </w:rPr>
  </w:style>
  <w:style w:type="character" w:customStyle="1" w:styleId="36">
    <w:name w:val="标题 1 字符"/>
    <w:link w:val="2"/>
    <w:qFormat/>
    <w:uiPriority w:val="9"/>
    <w:rPr>
      <w:rFonts w:eastAsia="仿宋_GB2312"/>
      <w:b/>
      <w:bCs/>
      <w:kern w:val="44"/>
      <w:sz w:val="24"/>
      <w:szCs w:val="44"/>
    </w:rPr>
  </w:style>
  <w:style w:type="paragraph" w:customStyle="1" w:styleId="37">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styleId="38">
    <w:name w:val="List Paragraph"/>
    <w:basedOn w:val="1"/>
    <w:unhideWhenUsed/>
    <w:qFormat/>
    <w:uiPriority w:val="99"/>
    <w:pPr>
      <w:ind w:left="142" w:right="118" w:rightChars="56"/>
    </w:pPr>
  </w:style>
  <w:style w:type="table" w:customStyle="1" w:styleId="39">
    <w:name w:val="Table Normal"/>
    <w:basedOn w:val="21"/>
    <w:unhideWhenUsed/>
    <w:qFormat/>
    <w:uiPriority w:val="0"/>
    <w:tblPr>
      <w:tblCellMar>
        <w:left w:w="0" w:type="dxa"/>
        <w:right w:w="0" w:type="dxa"/>
      </w:tblCellMar>
    </w:tblPr>
  </w:style>
  <w:style w:type="character" w:customStyle="1" w:styleId="40">
    <w:name w:val="15"/>
    <w:basedOn w:val="23"/>
    <w:qFormat/>
    <w:uiPriority w:val="0"/>
    <w:rPr>
      <w:rFonts w:hint="eastAsia" w:ascii="宋体" w:hAnsi="宋体" w:eastAsia="宋体" w:cs="宋体"/>
      <w:color w:val="000000"/>
      <w:sz w:val="21"/>
      <w:szCs w:val="21"/>
    </w:rPr>
  </w:style>
  <w:style w:type="paragraph" w:customStyle="1" w:styleId="41">
    <w:name w:val="1"/>
    <w:basedOn w:val="1"/>
    <w:qFormat/>
    <w:uiPriority w:val="0"/>
    <w:rPr>
      <w:szCs w:val="21"/>
    </w:rPr>
  </w:style>
  <w:style w:type="paragraph" w:customStyle="1" w:styleId="42">
    <w:name w:val="Table Paragraph"/>
    <w:basedOn w:val="1"/>
    <w:qFormat/>
    <w:uiPriority w:val="1"/>
    <w:pPr>
      <w:spacing w:before="129"/>
      <w:ind w:left="106"/>
    </w:pPr>
    <w:rPr>
      <w:rFonts w:ascii="宋体" w:hAnsi="宋体" w:cs="宋体"/>
    </w:rPr>
  </w:style>
  <w:style w:type="paragraph" w:customStyle="1" w:styleId="43">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12823</Words>
  <Characters>13290</Characters>
  <Lines>426</Lines>
  <Paragraphs>405</Paragraphs>
  <TotalTime>17</TotalTime>
  <ScaleCrop>false</ScaleCrop>
  <LinksUpToDate>false</LinksUpToDate>
  <CharactersWithSpaces>14353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2024-08-13T11:02:00Z</cp:lastPrinted>
  <dcterms:modified xsi:type="dcterms:W3CDTF">2025-06-12T08:20:14Z</dcterms:modified>
  <dc:title>中建七局华北公司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